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Network Exclusion and State Collapse:</w:t>
        <w:br/>
        <w:t>From Maritime Isolation to Technological Access Denial</w:t>
        <w:br/>
        <w:t>in the Long Run of History</w:t>
      </w:r>
    </w:p>
    <w:p/>
    <w:p>
      <w:pPr>
        <w:jc w:val="center"/>
      </w:pPr>
      <w:r>
        <w:rPr>
          <w:sz w:val="22"/>
        </w:rPr>
        <w:t>[Author Name]</w:t>
        <w:br/>
        <w:t>[Affiliation]</w:t>
        <w:br/>
        <w:t>[Email]</w:t>
      </w:r>
    </w:p>
    <w:p/>
    <w:p/>
    <w:p>
      <w:pPr>
        <w:pStyle w:val="Heading2"/>
      </w:pPr>
      <w:r>
        <w:t>Abstract</w:t>
      </w:r>
    </w:p>
    <w:p>
      <w:r>
        <w:rPr>
          <w:sz w:val="22"/>
        </w:rPr>
        <w:t>Why do some states collapse while others endure? This study proposes that structural exclusion from the dominant technological network of an era—not merely deliberate trade closure—is a recurring driver of state vulnerability, because it severs the flow of technical knowledge and allows a cumulative technology gap to open between connected and excluded polities. Using a comparative dataset of 96 historical polities spanning antiquity to the present, we distinguish between policy-driven isolation (e.g., Ming haijin, Tokugawa sakoku) and what we term 'technical network exclusion': involuntary disconnection from prevailing exchange networks due to geographic or technological constraints. Policy-based closure reduces but does not eliminate technology transfer (e.g., rangaku via Dejima under sakoku), whereas technical exclusion severs it entirely. Reclassifying seven technically excluded polities transforms a non-significant association between closure and conquest (Fisher's exact test p = 0.187) into a significant one (p = 0.020); all seven were eventually conquered. Multivariate logistic regression confirms that external threat and institutional quality are the strongest predictors of collapse, while the stock–flow odds ratio (OR = 1.774) remains stable across all scenarios. We argue that the underlying mechanism—technology flow disruption leading to an accumulating civilization-level gap—generalizes beyond maritime isolation. As the dominant network shifts from sea lanes to semiconductors, artificial intelligence, and advanced robotics, states structurally excluded from these technological platforms may face analogous vulnerabilities.</w:t>
      </w:r>
    </w:p>
    <w:p>
      <w:r>
        <w:rPr>
          <w:b/>
        </w:rPr>
        <w:t xml:space="preserve">Keywords: </w:t>
      </w:r>
      <w:r>
        <w:t>network exclusion; economic history; maritime closure; state collapse; technological access; sensitivity analysis</w:t>
      </w:r>
    </w:p>
    <w:p>
      <w:r>
        <w:rPr>
          <w:b/>
        </w:rPr>
        <w:t xml:space="preserve">JEL Classification: </w:t>
      </w:r>
      <w:r>
        <w:t>N40, N70, F50, O33, C12</w:t>
      </w:r>
    </w:p>
    <w:p>
      <w:r>
        <w:br w:type="page"/>
      </w:r>
    </w:p>
    <w:p>
      <w:pPr>
        <w:pStyle w:val="Heading1"/>
      </w:pPr>
      <w:r>
        <w:t>1  Introduction</w:t>
      </w:r>
    </w:p>
    <w:p>
      <w:r>
        <w:t>Every era has a dominant network—a prevailing infrastructure of exchange through which states access trade, technology, and strategic information. In antiquity, it was the Mediterranean sea lanes and the Silk Road caravan routes. In the age of sail, it was transoceanic maritime commerce. In the industrial age, it was railroad-linked factory systems and colonial supply chains. Today, it is the digital and semiconductor ecosystem. A recurring pattern in global history is that states excluded from the dominant network of their era—whether by choice or by circumstance—face elevated risks of decline and conquest (Kennedy 1987; Findlay and O'Rourke 2007).</w:t>
      </w:r>
    </w:p>
    <w:p>
      <w:r>
        <w:t>The existing literature on trade openness and state survival has overwhelmingly focused on deliberate closure: the maritime prohibitions (haijin) of Ming China, the sakoku decree of Tokugawa Japan, the autarkic blocs of the Cold War. Deliberate closure is analytically convenient because it represents a policy choice with an identifiable agent. Yet this focus on intentional closure overlooks a logically prior question: what happens to polities that never had the option of connecting to the dominant network in the first place? The Khmer Empire at Angkor, the Kievan Rus' principality, or the Timurid dynasty were not isolated because their rulers chose closure; they were isolated because no regular maritime routes connected them to the major trading systems of their era. If these polities exhibit the same elevated conquest risk as deliberately closed ones, then the mechanism at work is not the policy decision to close but the disconnection itself.</w:t>
      </w:r>
    </w:p>
    <w:p>
      <w:r>
        <w:t>We propose that the critical channel is technology flow. Maritime trade was never merely an exchange of goods; it was the primary vehicle through which military techniques, navigation methods, metallurgy, and institutional innovations diffused across polities (Pomeranz 2000; Mokyr 2002). Deliberate closure, such as sakoku, restricted but did not eliminate this flow—Tokugawa Japan maintained a narrow conduit of Western scientific knowledge (rangaku) through the Dutch trading post at Dejima. Technical exclusion, by contrast, severed the flow entirely. The result was a cumulative technology gap: over generations, excluded polities fell progressively behind the technological frontier, and when contact with a more advanced civilization eventually occurred—often through military confrontation—the gap proved fatal. This is, in essence, a quantitative restatement of a long-recognized pattern: when civilizations at markedly different technological levels collide, the less advanced one tends to be absorbed or destroyed (Diamond 1997).</w:t>
      </w:r>
    </w:p>
    <w:p>
      <w:r>
        <w:t>This paper makes three contributions. First, we construct a comparative historical dataset of 96 polities spanning six eras (ancient, medieval, early modern, modern, twentieth century, and contemporary) and classify each along two dimensions: its predominant resource base—stock-oriented (accumulated assets such as human capital, institutions, and natural resources) versus flow-oriented (trade, military projection, and diplomatic engagement)—and its degree of closure from international networks. Second, we introduce the concept of 'technical network exclusion,' defined as the involuntary disconnection of a polity from the dominant exchange network of its era due to geographic or technological constraints. In the maritime age, this takes the form of a 'technical maritime ban'—the absence of regular sea routes—but the underlying mechanism generalizes across eras. Third, we conduct a systematic sensitivity analysis in which seven technically excluded polities are reclassified from 'no closure' to 'technical maritime ban,' testing whether the closure–conquest association is an artifact of how isolation is defined.</w:t>
      </w:r>
    </w:p>
    <w:p>
      <w:r>
        <w:t>The principal finding is that reclassification transforms a non-significant baseline association (Fisher's exact test, one-sided p = 0.187) into a significant one (p = 0.020), while the core stock–flow odds ratio remains unchanged at 1.774. All seven technically excluded polities were eventually conquered. This result suggests that what matters for state survival is not whether closure was chosen but whether the polity was connected to the era's critical exchange platform.</w:t>
      </w:r>
    </w:p>
    <w:p>
      <w:r>
        <w:t>The forward-looking implication follows directly. If the mechanism is technology flow disruption leading to a cumulative gap, then the pattern need not be confined to the maritime age. In a world where geography no longer blocks physical trade, the 'dominant network' has shifted from sea lanes to the semiconductor supply chain, artificial intelligence infrastructure, and advanced robotics. States structurally excluded from these technological platforms—whether by export controls, infrastructure deficits, or institutional barriers—may face the same accumulating disadvantage that doomed the technically excluded polities of the premodern era. We develop this argument in the discussion.</w:t>
      </w:r>
    </w:p>
    <w:p>
      <w:r>
        <w:t>The remainder of the paper is organized as follows. Section 2 describes the dataset and classification framework. Section 3 presents the analytical methods. Section 4 reports the baseline results. Section 5 details the sensitivity analysis. Section 6 discusses implications, including the extension to technological access exclusion, and Section 7 concludes.</w:t>
      </w:r>
    </w:p>
    <w:p>
      <w:pPr>
        <w:pStyle w:val="Heading1"/>
      </w:pPr>
      <w:r>
        <w:t>2  Data and Classification</w:t>
      </w:r>
    </w:p>
    <w:p>
      <w:pPr>
        <w:pStyle w:val="Heading2"/>
      </w:pPr>
      <w:r>
        <w:t>2.1  Dataset construction</w:t>
      </w:r>
    </w:p>
    <w:p>
      <w:r>
        <w:t>The dataset comprises 96 historical polities selected from standard reference works (Findlay and O'Rourke 2007; Kennedy 1987; Turchin 2009). Selection criteria required that each polity be (i) identifiable as a distinct political entity with a defined period of existence, and (ii) classifiable along the dimensions described below. Each polity is coded on multiple variables: predominant resource base (stock or flow), stock index (0–1 continuous), trade openness (0–1 continuous), closure type, historical outcome, geographic barrier, external threat level, relative population, technological position, institutional quality, regime duration, and presence of an external patron. The complete dataset, including modern-country equivalents and turning-point events, is provided in Supplementary Table S1.</w:t>
      </w:r>
    </w:p>
    <w:p>
      <w:r>
        <w:t>Of the 96 polities, 45 are classified as stock-oriented and 51 as flow-oriented. Historical outcomes fall into three categories: overtaken (46 polities)—conquest, colonization, or annexation by an external power; disrupted (18)—regime collapse followed by reconstitution under a successor state (e.g., Tokugawa Japan giving way to Meiji Japan); and survived (32)—continuity of both regime and statehood. The 'disrupted' category is analytically ambiguous, as these polities neither clearly fell to foreign conquest nor clearly persisted; we address this through a dual-assignment sensitivity design (Section 3.1).</w:t>
      </w:r>
    </w:p>
    <w:p>
      <w:pPr>
        <w:pStyle w:val="Heading2"/>
      </w:pPr>
      <w:r>
        <w:t>2.2  Closure typology</w:t>
      </w:r>
    </w:p>
    <w:p>
      <w:r>
        <w:t>We classify each polity's degree of closure into five categories, ordered by the nature and intent of isolation: (1) maritime ban—deliberate restriction of maritime trade by state policy (e.g., Ming haijin, Qing Canton system); (2) sakoku—near-total isolation enforced by national decree (Tokugawa Japan, Joseon Korea); (3) bloc—closure within a geopolitical or economic bloc (e.g., COMECON, imperial preference systems); (4) technical maritime ban—involuntary isolation due to the absence of regular maritime routes; and (5) none—no significant closure from prevailing exchange networks.</w:t>
      </w:r>
    </w:p>
    <w:p>
      <w:r>
        <w:t>Categories 1 through 3 represent deliberate closure: a policy choice by identifiable agents. Category 4 represents structural exclusion: isolation imposed by geography and the limits of contemporary transport technology. This distinction is central to our argument, because if structural exclusion produces the same outcomes as deliberate closure, the causal mechanism must lie in the disconnection itself rather than in the decision to disconnect.</w:t>
      </w:r>
    </w:p>
    <w:p>
      <w:pPr>
        <w:pStyle w:val="Heading2"/>
      </w:pPr>
      <w:r>
        <w:t>2.3  Technical network exclusion: definition and candidates</w:t>
      </w:r>
    </w:p>
    <w:p>
      <w:r>
        <w:t>We define technical network exclusion, in its maritime-era form, as the condition in which no regular sea routes connected a polity to the major trading systems of its period. The key distinction from policy-based closure is the absence of agency: these polities did not choose isolation. Rather, the transport technology of their era had not yet extended regular maritime connectivity to their region.</w:t>
      </w:r>
    </w:p>
    <w:p>
      <w:r>
        <w:t>We identify seven reclassification candidates in two tiers (Table 1).</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20"/>
              </w:rPr>
              <w:t>Polity</w:t>
            </w:r>
          </w:p>
        </w:tc>
        <w:tc>
          <w:tcPr>
            <w:tcW w:type="dxa" w:w="1881"/>
          </w:tcPr>
          <w:p>
            <w:r>
              <w:rPr>
                <w:b/>
                <w:sz w:val="20"/>
              </w:rPr>
              <w:t>Period</w:t>
            </w:r>
          </w:p>
        </w:tc>
        <w:tc>
          <w:tcPr>
            <w:tcW w:type="dxa" w:w="1881"/>
          </w:tcPr>
          <w:p>
            <w:r>
              <w:rPr>
                <w:b/>
                <w:sz w:val="20"/>
              </w:rPr>
              <w:t>Tier</w:t>
            </w:r>
          </w:p>
        </w:tc>
        <w:tc>
          <w:tcPr>
            <w:tcW w:type="dxa" w:w="1881"/>
          </w:tcPr>
          <w:p>
            <w:r>
              <w:rPr>
                <w:b/>
                <w:sz w:val="20"/>
              </w:rPr>
              <w:t>Original Closure</w:t>
            </w:r>
          </w:p>
        </w:tc>
        <w:tc>
          <w:tcPr>
            <w:tcW w:type="dxa" w:w="1881"/>
          </w:tcPr>
          <w:p>
            <w:r>
              <w:rPr>
                <w:b/>
                <w:sz w:val="20"/>
              </w:rPr>
              <w:t>Rationale</w:t>
            </w:r>
          </w:p>
        </w:tc>
      </w:tr>
      <w:tr>
        <w:tc>
          <w:tcPr>
            <w:tcW w:type="dxa" w:w="1881"/>
          </w:tcPr>
          <w:p>
            <w:r>
              <w:rPr>
                <w:sz w:val="18"/>
              </w:rPr>
              <w:t>Han Dynasty (China)</w:t>
            </w:r>
          </w:p>
        </w:tc>
        <w:tc>
          <w:tcPr>
            <w:tcW w:type="dxa" w:w="1881"/>
          </w:tcPr>
          <w:p>
            <w:r>
              <w:rPr>
                <w:sz w:val="18"/>
              </w:rPr>
              <w:t>BC206-AD220</w:t>
            </w:r>
          </w:p>
        </w:tc>
        <w:tc>
          <w:tcPr>
            <w:tcW w:type="dxa" w:w="1881"/>
          </w:tcPr>
          <w:p>
            <w:r>
              <w:rPr>
                <w:sz w:val="18"/>
              </w:rPr>
              <w:t>Strong</w:t>
            </w:r>
          </w:p>
        </w:tc>
        <w:tc>
          <w:tcPr>
            <w:tcW w:type="dxa" w:w="1881"/>
          </w:tcPr>
          <w:p>
            <w:r>
              <w:rPr>
                <w:sz w:val="18"/>
              </w:rPr>
              <w:t>None</w:t>
            </w:r>
          </w:p>
        </w:tc>
        <w:tc>
          <w:tcPr>
            <w:tcW w:type="dxa" w:w="1881"/>
          </w:tcPr>
          <w:p>
            <w:r>
              <w:rPr>
                <w:sz w:val="18"/>
              </w:rPr>
              <w:t>No regular sea route from Mediterranean. Silk Road overland only.</w:t>
            </w:r>
          </w:p>
        </w:tc>
      </w:tr>
      <w:tr>
        <w:tc>
          <w:tcPr>
            <w:tcW w:type="dxa" w:w="1881"/>
          </w:tcPr>
          <w:p>
            <w:r>
              <w:rPr>
                <w:sz w:val="18"/>
              </w:rPr>
              <w:t>Mali Empire</w:t>
            </w:r>
          </w:p>
        </w:tc>
        <w:tc>
          <w:tcPr>
            <w:tcW w:type="dxa" w:w="1881"/>
          </w:tcPr>
          <w:p>
            <w:r>
              <w:rPr>
                <w:sz w:val="18"/>
              </w:rPr>
              <w:t>AD1235-AD1600</w:t>
            </w:r>
          </w:p>
        </w:tc>
        <w:tc>
          <w:tcPr>
            <w:tcW w:type="dxa" w:w="1881"/>
          </w:tcPr>
          <w:p>
            <w:r>
              <w:rPr>
                <w:sz w:val="18"/>
              </w:rPr>
              <w:t>Strong</w:t>
            </w:r>
          </w:p>
        </w:tc>
        <w:tc>
          <w:tcPr>
            <w:tcW w:type="dxa" w:w="1881"/>
          </w:tcPr>
          <w:p>
            <w:r>
              <w:rPr>
                <w:sz w:val="18"/>
              </w:rPr>
              <w:t>None</w:t>
            </w:r>
          </w:p>
        </w:tc>
        <w:tc>
          <w:tcPr>
            <w:tcW w:type="dxa" w:w="1881"/>
          </w:tcPr>
          <w:p>
            <w:r>
              <w:rPr>
                <w:sz w:val="18"/>
              </w:rPr>
              <w:t>No Atlantic maritime route until Portuguese exploration (15th c.). Trans-Saharan caravan only.</w:t>
            </w:r>
          </w:p>
        </w:tc>
      </w:tr>
      <w:tr>
        <w:tc>
          <w:tcPr>
            <w:tcW w:type="dxa" w:w="1881"/>
          </w:tcPr>
          <w:p>
            <w:r>
              <w:rPr>
                <w:sz w:val="18"/>
              </w:rPr>
              <w:t>Khmer Empire (Angkor)</w:t>
            </w:r>
          </w:p>
        </w:tc>
        <w:tc>
          <w:tcPr>
            <w:tcW w:type="dxa" w:w="1881"/>
          </w:tcPr>
          <w:p>
            <w:r>
              <w:rPr>
                <w:sz w:val="18"/>
              </w:rPr>
              <w:t>AD802-AD1431</w:t>
            </w:r>
          </w:p>
        </w:tc>
        <w:tc>
          <w:tcPr>
            <w:tcW w:type="dxa" w:w="1881"/>
          </w:tcPr>
          <w:p>
            <w:r>
              <w:rPr>
                <w:sz w:val="18"/>
              </w:rPr>
              <w:t>Strong</w:t>
            </w:r>
          </w:p>
        </w:tc>
        <w:tc>
          <w:tcPr>
            <w:tcW w:type="dxa" w:w="1881"/>
          </w:tcPr>
          <w:p>
            <w:r>
              <w:rPr>
                <w:sz w:val="18"/>
              </w:rPr>
              <w:t>None</w:t>
            </w:r>
          </w:p>
        </w:tc>
        <w:tc>
          <w:tcPr>
            <w:tcW w:type="dxa" w:w="1881"/>
          </w:tcPr>
          <w:p>
            <w:r>
              <w:rPr>
                <w:sz w:val="18"/>
              </w:rPr>
              <w:t>Inland polity; no direct oceanic access unlike maritime Srivijaya.</w:t>
            </w:r>
          </w:p>
        </w:tc>
      </w:tr>
      <w:tr>
        <w:tc>
          <w:tcPr>
            <w:tcW w:type="dxa" w:w="1881"/>
          </w:tcPr>
          <w:p>
            <w:r>
              <w:rPr>
                <w:sz w:val="18"/>
              </w:rPr>
              <w:t>Kievan Rus'</w:t>
            </w:r>
          </w:p>
        </w:tc>
        <w:tc>
          <w:tcPr>
            <w:tcW w:type="dxa" w:w="1881"/>
          </w:tcPr>
          <w:p>
            <w:r>
              <w:rPr>
                <w:sz w:val="18"/>
              </w:rPr>
              <w:t>AD882-AD1240</w:t>
            </w:r>
          </w:p>
        </w:tc>
        <w:tc>
          <w:tcPr>
            <w:tcW w:type="dxa" w:w="1881"/>
          </w:tcPr>
          <w:p>
            <w:r>
              <w:rPr>
                <w:sz w:val="18"/>
              </w:rPr>
              <w:t>Strong</w:t>
            </w:r>
          </w:p>
        </w:tc>
        <w:tc>
          <w:tcPr>
            <w:tcW w:type="dxa" w:w="1881"/>
          </w:tcPr>
          <w:p>
            <w:r>
              <w:rPr>
                <w:sz w:val="18"/>
              </w:rPr>
              <w:t>None</w:t>
            </w:r>
          </w:p>
        </w:tc>
        <w:tc>
          <w:tcPr>
            <w:tcW w:type="dxa" w:w="1881"/>
          </w:tcPr>
          <w:p>
            <w:r>
              <w:rPr>
                <w:sz w:val="18"/>
              </w:rPr>
              <w:t>Dnieper river trade (Varangian route); no regular oceanic routes.</w:t>
            </w:r>
          </w:p>
        </w:tc>
      </w:tr>
      <w:tr>
        <w:tc>
          <w:tcPr>
            <w:tcW w:type="dxa" w:w="1881"/>
          </w:tcPr>
          <w:p>
            <w:r>
              <w:rPr>
                <w:sz w:val="18"/>
              </w:rPr>
              <w:t>Timurid Empire</w:t>
            </w:r>
          </w:p>
        </w:tc>
        <w:tc>
          <w:tcPr>
            <w:tcW w:type="dxa" w:w="1881"/>
          </w:tcPr>
          <w:p>
            <w:r>
              <w:rPr>
                <w:sz w:val="18"/>
              </w:rPr>
              <w:t>AD1370-AD1507</w:t>
            </w:r>
          </w:p>
        </w:tc>
        <w:tc>
          <w:tcPr>
            <w:tcW w:type="dxa" w:w="1881"/>
          </w:tcPr>
          <w:p>
            <w:r>
              <w:rPr>
                <w:sz w:val="18"/>
              </w:rPr>
              <w:t>Strong</w:t>
            </w:r>
          </w:p>
        </w:tc>
        <w:tc>
          <w:tcPr>
            <w:tcW w:type="dxa" w:w="1881"/>
          </w:tcPr>
          <w:p>
            <w:r>
              <w:rPr>
                <w:sz w:val="18"/>
              </w:rPr>
              <w:t>None</w:t>
            </w:r>
          </w:p>
        </w:tc>
        <w:tc>
          <w:tcPr>
            <w:tcW w:type="dxa" w:w="1881"/>
          </w:tcPr>
          <w:p>
            <w:r>
              <w:rPr>
                <w:sz w:val="18"/>
              </w:rPr>
              <w:t>Completely landlocked; no maritime access. Silk Road overland only.</w:t>
            </w:r>
          </w:p>
        </w:tc>
      </w:tr>
      <w:tr>
        <w:tc>
          <w:tcPr>
            <w:tcW w:type="dxa" w:w="1881"/>
          </w:tcPr>
          <w:p>
            <w:r>
              <w:rPr>
                <w:sz w:val="18"/>
              </w:rPr>
              <w:t>Sasanian Persia</w:t>
            </w:r>
          </w:p>
        </w:tc>
        <w:tc>
          <w:tcPr>
            <w:tcW w:type="dxa" w:w="1881"/>
          </w:tcPr>
          <w:p>
            <w:r>
              <w:rPr>
                <w:sz w:val="18"/>
              </w:rPr>
              <w:t>AD224-AD651</w:t>
            </w:r>
          </w:p>
        </w:tc>
        <w:tc>
          <w:tcPr>
            <w:tcW w:type="dxa" w:w="1881"/>
          </w:tcPr>
          <w:p>
            <w:r>
              <w:rPr>
                <w:sz w:val="18"/>
              </w:rPr>
              <w:t>Moderate</w:t>
            </w:r>
          </w:p>
        </w:tc>
        <w:tc>
          <w:tcPr>
            <w:tcW w:type="dxa" w:w="1881"/>
          </w:tcPr>
          <w:p>
            <w:r>
              <w:rPr>
                <w:sz w:val="18"/>
              </w:rPr>
              <w:t>None</w:t>
            </w:r>
          </w:p>
        </w:tc>
        <w:tc>
          <w:tcPr>
            <w:tcW w:type="dxa" w:w="1881"/>
          </w:tcPr>
          <w:p>
            <w:r>
              <w:rPr>
                <w:sz w:val="18"/>
              </w:rPr>
              <w:t>Limited Persian Gulf trade; no regular Indian Ocean/Mediterranean sea routes established.</w:t>
            </w:r>
          </w:p>
        </w:tc>
      </w:tr>
      <w:tr>
        <w:tc>
          <w:tcPr>
            <w:tcW w:type="dxa" w:w="1881"/>
          </w:tcPr>
          <w:p>
            <w:r>
              <w:rPr>
                <w:sz w:val="18"/>
              </w:rPr>
              <w:t>Konbaung Burma</w:t>
            </w:r>
          </w:p>
        </w:tc>
        <w:tc>
          <w:tcPr>
            <w:tcW w:type="dxa" w:w="1881"/>
          </w:tcPr>
          <w:p>
            <w:r>
              <w:rPr>
                <w:sz w:val="18"/>
              </w:rPr>
              <w:t>AD1752-AD1885</w:t>
            </w:r>
          </w:p>
        </w:tc>
        <w:tc>
          <w:tcPr>
            <w:tcW w:type="dxa" w:w="1881"/>
          </w:tcPr>
          <w:p>
            <w:r>
              <w:rPr>
                <w:sz w:val="18"/>
              </w:rPr>
              <w:t>Moderate</w:t>
            </w:r>
          </w:p>
        </w:tc>
        <w:tc>
          <w:tcPr>
            <w:tcW w:type="dxa" w:w="1881"/>
          </w:tcPr>
          <w:p>
            <w:r>
              <w:rPr>
                <w:sz w:val="18"/>
              </w:rPr>
              <w:t>None</w:t>
            </w:r>
          </w:p>
        </w:tc>
        <w:tc>
          <w:tcPr>
            <w:tcW w:type="dxa" w:w="1881"/>
          </w:tcPr>
          <w:p>
            <w:r>
              <w:rPr>
                <w:sz w:val="18"/>
              </w:rPr>
              <w:t>Coastal access existed but no regular international sea routes until British arrival.</w:t>
            </w:r>
          </w:p>
        </w:tc>
      </w:tr>
    </w:tbl>
    <w:p>
      <w:r>
        <w:rPr>
          <w:b/>
          <w:sz w:val="20"/>
        </w:rPr>
        <w:t xml:space="preserve">Table 1  </w:t>
      </w:r>
      <w:r>
        <w:rPr>
          <w:sz w:val="20"/>
        </w:rPr>
        <w:t>Technical maritime ban reclassification candidates. 'Strong' candidates had no regular maritime routes; 'Moderate' candidates had limited or uncertain maritime connectivity.</w:t>
      </w:r>
    </w:p>
    <w:p>
      <w:pPr>
        <w:pStyle w:val="Heading1"/>
      </w:pPr>
      <w:r>
        <w:t>3  Methods</w:t>
      </w:r>
    </w:p>
    <w:p>
      <w:pPr>
        <w:pStyle w:val="Heading2"/>
      </w:pPr>
      <w:r>
        <w:t>3.1  Outcome binarization and sensitivity design</w:t>
      </w:r>
    </w:p>
    <w:p>
      <w:r>
        <w:t>The three-category outcome (overtaken, disrupted, survived) poses a classification problem. The 18 'disrupted' polities experienced regime collapse but were not clearly conquered by an external power; they could reasonably be grouped with either outcome. Rather than making a single arbitrary assignment, we adopt a dual-assignment design: in the 'disrupted → overtaken' scenario, all 18 are coded as conquered (yielding 64 conquered, 32 survived); in the 'disrupted → survived' scenario, they are coded as having survived (46 conquered, 50 survived). Crossed with three closure reclassification levels (baseline, +5 strong candidates, +7 all candidates), this produces 3 × 2 = 6 scenarios. All results are reported across all six to demonstrate robustness.</w:t>
      </w:r>
    </w:p>
    <w:p>
      <w:pPr>
        <w:pStyle w:val="Heading2"/>
      </w:pPr>
      <w:r>
        <w:t>3.2  Stock–flow association</w:t>
      </w:r>
    </w:p>
    <w:p>
      <w:r>
        <w:t>We construct 2 × 2 tables crossing the predominant resource base (stock vs. flow) against the binarized outcome (overtaken vs. survived) and compute the odds ratio (OR), phi coefficient (φ), one-sided Fisher's exact test, and chi-squared test with Yates correction. Effect sizes are interpreted using Cohen's benchmarks for φ.</w:t>
      </w:r>
    </w:p>
    <w:p>
      <w:pPr>
        <w:pStyle w:val="Heading2"/>
      </w:pPr>
      <w:r>
        <w:t>3.3  Closure–conquest association</w:t>
      </w:r>
    </w:p>
    <w:p>
      <w:r>
        <w:t>For each of the six scenarios, we construct a 2 × 2 table crossing closure status (maritime closure vs. open) against the binarized outcome. The 'maritime closure' group includes polities coded as maritime ban, sakoku, or technical maritime ban. We compute one-sided Fisher's exact tests evaluating whether closure is associated with elevated conquest rates, and report relative risks alongside p-values.</w:t>
      </w:r>
    </w:p>
    <w:p>
      <w:pPr>
        <w:pStyle w:val="Heading2"/>
      </w:pPr>
      <w:r>
        <w:t>3.4  Multivariate logistic regression</w:t>
      </w:r>
    </w:p>
    <w:p>
      <w:r>
        <w:t>To assess whether the closure–conquest association survives adjustment for confounders, we fit logistic regression models with the binarized outcome as the dependent variable and the following covariates: stock-dominant indicator, geographic barrier, external threat level, technological position, institutional quality, era (coded ordinally), external patron indicator, and a maritime closure indicator. We report exponentiated coefficients (odds ratios) with 95% confidence intervals.</w:t>
      </w:r>
    </w:p>
    <w:p>
      <w:pPr>
        <w:pStyle w:val="Heading2"/>
      </w:pPr>
      <w:r>
        <w:t>3.5  Bootstrap validation</w:t>
      </w:r>
    </w:p>
    <w:p>
      <w:r>
        <w:t>We validate the stock–flow OR using a nonparametric bootstrap (5,000 resamples, percentile method, seed = 42). This provides a distribution-free confidence interval that does not depend on asymptotic normality—a relevant consideration given the modest sample size.</w:t>
      </w:r>
    </w:p>
    <w:p>
      <w:pPr>
        <w:pStyle w:val="Heading1"/>
      </w:pPr>
      <w:r>
        <w:t>4  Results</w:t>
      </w:r>
    </w:p>
    <w:p>
      <w:pPr>
        <w:pStyle w:val="Heading2"/>
      </w:pPr>
      <w:r>
        <w:t>4.1  Baseline stock–flow association</w:t>
      </w:r>
    </w:p>
    <w:p>
      <w:r>
        <w:t>Under the disrupted → overtaken assignment, the stock–flow 2 × 2 table yields OR = 1.774, φ = 0.133, Fisher's exact p = 0.1390 (one-sided). Stock-oriented polities have a conquest rate of 73.3%, compared with 60.8% for flow-oriented polities—a small-to-medium effect by Cohen's benchmarks. Under the disrupted → survived assignment, the OR shifts to 0.650, illustrating the sensitivity of the stock–flow association to how the ambiguous 'disrupted' category is handled. This dual sensitivity—to both closure definition and outcome binarization—motivates the full six-scenario analysis below.</w:t>
      </w:r>
    </w:p>
    <w:p>
      <w:pPr>
        <w:pStyle w:val="Heading2"/>
      </w:pPr>
      <w:r>
        <w:t>4.2  Maritime closure and conquest</w:t>
      </w:r>
    </w:p>
    <w:p>
      <w:r>
        <w:t>Table 2 reports the closure–conquest association across all six scenarios. At baseline under the disrupted → overtaken assignment, polities with some form of maritime closure have a conquest rate of 80.0%, compared with 64.2% for open polities (Fisher p = 0.1873, not significant). Reclassifying five strong candidates as technically excluded raises the closure-group conquest rate to 85.0% (Fisher p = 0.0413). Including all seven candidates strengthens the association further: conquest rate = 86.4%, Fisher p = 0.0204 (Fig. 1, Fig. 2). The progressive strengthening of significance as technically excluded polities are added suggests that these polities genuinely belong in the closure group rather than among the open polities.</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tcPr>
          <w:p>
            <w:r>
              <w:rPr>
                <w:b/>
                <w:sz w:val="18"/>
              </w:rPr>
              <w:t>Disrupted As</w:t>
            </w:r>
          </w:p>
        </w:tc>
        <w:tc>
          <w:tcPr>
            <w:tcW w:type="dxa" w:w="1176"/>
          </w:tcPr>
          <w:p>
            <w:r>
              <w:rPr>
                <w:b/>
                <w:sz w:val="18"/>
              </w:rPr>
              <w:t>Reclassification</w:t>
            </w:r>
          </w:p>
        </w:tc>
        <w:tc>
          <w:tcPr>
            <w:tcW w:type="dxa" w:w="1176"/>
          </w:tcPr>
          <w:p>
            <w:r>
              <w:rPr>
                <w:b/>
                <w:sz w:val="18"/>
              </w:rPr>
              <w:t>Closure n</w:t>
            </w:r>
          </w:p>
        </w:tc>
        <w:tc>
          <w:tcPr>
            <w:tcW w:type="dxa" w:w="1176"/>
          </w:tcPr>
          <w:p>
            <w:r>
              <w:rPr>
                <w:b/>
                <w:sz w:val="18"/>
              </w:rPr>
              <w:t>Closure Rate</w:t>
            </w:r>
          </w:p>
        </w:tc>
        <w:tc>
          <w:tcPr>
            <w:tcW w:type="dxa" w:w="1176"/>
          </w:tcPr>
          <w:p>
            <w:r>
              <w:rPr>
                <w:b/>
                <w:sz w:val="18"/>
              </w:rPr>
              <w:t>Open Rate</w:t>
            </w:r>
          </w:p>
        </w:tc>
        <w:tc>
          <w:tcPr>
            <w:tcW w:type="dxa" w:w="1176"/>
          </w:tcPr>
          <w:p>
            <w:r>
              <w:rPr>
                <w:b/>
                <w:sz w:val="18"/>
              </w:rPr>
              <w:t>RR</w:t>
            </w:r>
          </w:p>
        </w:tc>
        <w:tc>
          <w:tcPr>
            <w:tcW w:type="dxa" w:w="1176"/>
          </w:tcPr>
          <w:p>
            <w:r>
              <w:rPr>
                <w:b/>
                <w:sz w:val="18"/>
              </w:rPr>
              <w:t>Fisher p</w:t>
            </w:r>
          </w:p>
        </w:tc>
        <w:tc>
          <w:tcPr>
            <w:tcW w:type="dxa" w:w="1176"/>
          </w:tcPr>
          <w:p>
            <w:r>
              <w:rPr>
                <w:b/>
                <w:sz w:val="18"/>
              </w:rPr>
              <w:t>Sig.</w:t>
            </w:r>
          </w:p>
        </w:tc>
      </w:tr>
      <w:tr>
        <w:tc>
          <w:tcPr>
            <w:tcW w:type="dxa" w:w="1176"/>
          </w:tcPr>
          <w:p>
            <w:r>
              <w:rPr>
                <w:sz w:val="18"/>
              </w:rPr>
              <w:t>Overtaken</w:t>
            </w:r>
          </w:p>
        </w:tc>
        <w:tc>
          <w:tcPr>
            <w:tcW w:type="dxa" w:w="1176"/>
          </w:tcPr>
          <w:p>
            <w:r>
              <w:rPr>
                <w:sz w:val="18"/>
              </w:rPr>
              <w:t>Baseline</w:t>
            </w:r>
          </w:p>
        </w:tc>
        <w:tc>
          <w:tcPr>
            <w:tcW w:type="dxa" w:w="1176"/>
          </w:tcPr>
          <w:p>
            <w:r>
              <w:rPr>
                <w:sz w:val="18"/>
              </w:rPr>
              <w:t>15</w:t>
            </w:r>
          </w:p>
        </w:tc>
        <w:tc>
          <w:tcPr>
            <w:tcW w:type="dxa" w:w="1176"/>
          </w:tcPr>
          <w:p>
            <w:r>
              <w:rPr>
                <w:sz w:val="18"/>
              </w:rPr>
              <w:t>80.0%</w:t>
            </w:r>
          </w:p>
        </w:tc>
        <w:tc>
          <w:tcPr>
            <w:tcW w:type="dxa" w:w="1176"/>
          </w:tcPr>
          <w:p>
            <w:r>
              <w:rPr>
                <w:sz w:val="18"/>
              </w:rPr>
              <w:t>64.2%</w:t>
            </w:r>
          </w:p>
        </w:tc>
        <w:tc>
          <w:tcPr>
            <w:tcW w:type="dxa" w:w="1176"/>
          </w:tcPr>
          <w:p>
            <w:r>
              <w:rPr>
                <w:sz w:val="18"/>
              </w:rPr>
              <w:t>1.246</w:t>
            </w:r>
          </w:p>
        </w:tc>
        <w:tc>
          <w:tcPr>
            <w:tcW w:type="dxa" w:w="1176"/>
          </w:tcPr>
          <w:p>
            <w:r>
              <w:rPr>
                <w:sz w:val="18"/>
              </w:rPr>
              <w:t>0.1873</w:t>
            </w:r>
          </w:p>
        </w:tc>
        <w:tc>
          <w:tcPr>
            <w:tcW w:type="dxa" w:w="1176"/>
          </w:tcPr>
          <w:p>
            <w:r>
              <w:rPr>
                <w:sz w:val="18"/>
              </w:rPr>
            </w:r>
          </w:p>
        </w:tc>
      </w:tr>
      <w:tr>
        <w:tc>
          <w:tcPr>
            <w:tcW w:type="dxa" w:w="1176"/>
          </w:tcPr>
          <w:p>
            <w:r>
              <w:rPr>
                <w:sz w:val="18"/>
              </w:rPr>
              <w:t>Overtaken</w:t>
            </w:r>
          </w:p>
        </w:tc>
        <w:tc>
          <w:tcPr>
            <w:tcW w:type="dxa" w:w="1176"/>
          </w:tcPr>
          <w:p>
            <w:r>
              <w:rPr>
                <w:sz w:val="18"/>
              </w:rPr>
              <w:t>+5 Strong</w:t>
            </w:r>
          </w:p>
        </w:tc>
        <w:tc>
          <w:tcPr>
            <w:tcW w:type="dxa" w:w="1176"/>
          </w:tcPr>
          <w:p>
            <w:r>
              <w:rPr>
                <w:sz w:val="18"/>
              </w:rPr>
              <w:t>20</w:t>
            </w:r>
          </w:p>
        </w:tc>
        <w:tc>
          <w:tcPr>
            <w:tcW w:type="dxa" w:w="1176"/>
          </w:tcPr>
          <w:p>
            <w:r>
              <w:rPr>
                <w:sz w:val="18"/>
              </w:rPr>
              <w:t>85.0%</w:t>
            </w:r>
          </w:p>
        </w:tc>
        <w:tc>
          <w:tcPr>
            <w:tcW w:type="dxa" w:w="1176"/>
          </w:tcPr>
          <w:p>
            <w:r>
              <w:rPr>
                <w:sz w:val="18"/>
              </w:rPr>
              <w:t>61.8%</w:t>
            </w:r>
          </w:p>
        </w:tc>
        <w:tc>
          <w:tcPr>
            <w:tcW w:type="dxa" w:w="1176"/>
          </w:tcPr>
          <w:p>
            <w:r>
              <w:rPr>
                <w:sz w:val="18"/>
              </w:rPr>
              <w:t>1.374</w:t>
            </w:r>
          </w:p>
        </w:tc>
        <w:tc>
          <w:tcPr>
            <w:tcW w:type="dxa" w:w="1176"/>
          </w:tcPr>
          <w:p>
            <w:r>
              <w:rPr>
                <w:sz w:val="18"/>
              </w:rPr>
              <w:t>0.0413</w:t>
            </w:r>
          </w:p>
        </w:tc>
        <w:tc>
          <w:tcPr>
            <w:tcW w:type="dxa" w:w="1176"/>
          </w:tcPr>
          <w:p>
            <w:r>
              <w:rPr>
                <w:sz w:val="18"/>
              </w:rPr>
              <w:t>*</w:t>
            </w:r>
          </w:p>
        </w:tc>
      </w:tr>
      <w:tr>
        <w:tc>
          <w:tcPr>
            <w:tcW w:type="dxa" w:w="1176"/>
          </w:tcPr>
          <w:p>
            <w:r>
              <w:rPr>
                <w:sz w:val="18"/>
              </w:rPr>
              <w:t>Overtaken</w:t>
            </w:r>
          </w:p>
        </w:tc>
        <w:tc>
          <w:tcPr>
            <w:tcW w:type="dxa" w:w="1176"/>
          </w:tcPr>
          <w:p>
            <w:r>
              <w:rPr>
                <w:sz w:val="18"/>
              </w:rPr>
              <w:t>+7 All</w:t>
            </w:r>
          </w:p>
        </w:tc>
        <w:tc>
          <w:tcPr>
            <w:tcW w:type="dxa" w:w="1176"/>
          </w:tcPr>
          <w:p>
            <w:r>
              <w:rPr>
                <w:sz w:val="18"/>
              </w:rPr>
              <w:t>22</w:t>
            </w:r>
          </w:p>
        </w:tc>
        <w:tc>
          <w:tcPr>
            <w:tcW w:type="dxa" w:w="1176"/>
          </w:tcPr>
          <w:p>
            <w:r>
              <w:rPr>
                <w:sz w:val="18"/>
              </w:rPr>
              <w:t>86.4%</w:t>
            </w:r>
          </w:p>
        </w:tc>
        <w:tc>
          <w:tcPr>
            <w:tcW w:type="dxa" w:w="1176"/>
          </w:tcPr>
          <w:p>
            <w:r>
              <w:rPr>
                <w:sz w:val="18"/>
              </w:rPr>
              <w:t>60.8%</w:t>
            </w:r>
          </w:p>
        </w:tc>
        <w:tc>
          <w:tcPr>
            <w:tcW w:type="dxa" w:w="1176"/>
          </w:tcPr>
          <w:p>
            <w:r>
              <w:rPr>
                <w:sz w:val="18"/>
              </w:rPr>
              <w:t>1.420</w:t>
            </w:r>
          </w:p>
        </w:tc>
        <w:tc>
          <w:tcPr>
            <w:tcW w:type="dxa" w:w="1176"/>
          </w:tcPr>
          <w:p>
            <w:r>
              <w:rPr>
                <w:sz w:val="18"/>
              </w:rPr>
              <w:t>0.0204</w:t>
            </w:r>
          </w:p>
        </w:tc>
        <w:tc>
          <w:tcPr>
            <w:tcW w:type="dxa" w:w="1176"/>
          </w:tcPr>
          <w:p>
            <w:r>
              <w:rPr>
                <w:sz w:val="18"/>
              </w:rPr>
              <w:t>*</w:t>
            </w:r>
          </w:p>
        </w:tc>
      </w:tr>
      <w:tr>
        <w:tc>
          <w:tcPr>
            <w:tcW w:type="dxa" w:w="1176"/>
          </w:tcPr>
          <w:p>
            <w:r>
              <w:rPr>
                <w:sz w:val="18"/>
              </w:rPr>
              <w:t>Survived</w:t>
            </w:r>
          </w:p>
        </w:tc>
        <w:tc>
          <w:tcPr>
            <w:tcW w:type="dxa" w:w="1176"/>
          </w:tcPr>
          <w:p>
            <w:r>
              <w:rPr>
                <w:sz w:val="18"/>
              </w:rPr>
              <w:t>Baseline</w:t>
            </w:r>
          </w:p>
        </w:tc>
        <w:tc>
          <w:tcPr>
            <w:tcW w:type="dxa" w:w="1176"/>
          </w:tcPr>
          <w:p>
            <w:r>
              <w:rPr>
                <w:sz w:val="18"/>
              </w:rPr>
              <w:t>15</w:t>
            </w:r>
          </w:p>
        </w:tc>
        <w:tc>
          <w:tcPr>
            <w:tcW w:type="dxa" w:w="1176"/>
          </w:tcPr>
          <w:p>
            <w:r>
              <w:rPr>
                <w:sz w:val="18"/>
              </w:rPr>
              <w:t>66.7%</w:t>
            </w:r>
          </w:p>
        </w:tc>
        <w:tc>
          <w:tcPr>
            <w:tcW w:type="dxa" w:w="1176"/>
          </w:tcPr>
          <w:p>
            <w:r>
              <w:rPr>
                <w:sz w:val="18"/>
              </w:rPr>
              <w:t>44.4%</w:t>
            </w:r>
          </w:p>
        </w:tc>
        <w:tc>
          <w:tcPr>
            <w:tcW w:type="dxa" w:w="1176"/>
          </w:tcPr>
          <w:p>
            <w:r>
              <w:rPr>
                <w:sz w:val="18"/>
              </w:rPr>
              <w:t>1.500</w:t>
            </w:r>
          </w:p>
        </w:tc>
        <w:tc>
          <w:tcPr>
            <w:tcW w:type="dxa" w:w="1176"/>
          </w:tcPr>
          <w:p>
            <w:r>
              <w:rPr>
                <w:sz w:val="18"/>
              </w:rPr>
              <w:t>0.0964</w:t>
            </w:r>
          </w:p>
        </w:tc>
        <w:tc>
          <w:tcPr>
            <w:tcW w:type="dxa" w:w="1176"/>
          </w:tcPr>
          <w:p>
            <w:r>
              <w:rPr>
                <w:sz w:val="18"/>
              </w:rPr>
            </w:r>
          </w:p>
        </w:tc>
      </w:tr>
      <w:tr>
        <w:tc>
          <w:tcPr>
            <w:tcW w:type="dxa" w:w="1176"/>
          </w:tcPr>
          <w:p>
            <w:r>
              <w:rPr>
                <w:sz w:val="18"/>
              </w:rPr>
              <w:t>Survived</w:t>
            </w:r>
          </w:p>
        </w:tc>
        <w:tc>
          <w:tcPr>
            <w:tcW w:type="dxa" w:w="1176"/>
          </w:tcPr>
          <w:p>
            <w:r>
              <w:rPr>
                <w:sz w:val="18"/>
              </w:rPr>
              <w:t>+5 Strong</w:t>
            </w:r>
          </w:p>
        </w:tc>
        <w:tc>
          <w:tcPr>
            <w:tcW w:type="dxa" w:w="1176"/>
          </w:tcPr>
          <w:p>
            <w:r>
              <w:rPr>
                <w:sz w:val="18"/>
              </w:rPr>
              <w:t>20</w:t>
            </w:r>
          </w:p>
        </w:tc>
        <w:tc>
          <w:tcPr>
            <w:tcW w:type="dxa" w:w="1176"/>
          </w:tcPr>
          <w:p>
            <w:r>
              <w:rPr>
                <w:sz w:val="18"/>
              </w:rPr>
              <w:t>75.0%</w:t>
            </w:r>
          </w:p>
        </w:tc>
        <w:tc>
          <w:tcPr>
            <w:tcW w:type="dxa" w:w="1176"/>
          </w:tcPr>
          <w:p>
            <w:r>
              <w:rPr>
                <w:sz w:val="18"/>
              </w:rPr>
              <w:t>40.8%</w:t>
            </w:r>
          </w:p>
        </w:tc>
        <w:tc>
          <w:tcPr>
            <w:tcW w:type="dxa" w:w="1176"/>
          </w:tcPr>
          <w:p>
            <w:r>
              <w:rPr>
                <w:sz w:val="18"/>
              </w:rPr>
              <w:t>1.839</w:t>
            </w:r>
          </w:p>
        </w:tc>
        <w:tc>
          <w:tcPr>
            <w:tcW w:type="dxa" w:w="1176"/>
          </w:tcPr>
          <w:p>
            <w:r>
              <w:rPr>
                <w:sz w:val="18"/>
              </w:rPr>
              <w:t>0.0062</w:t>
            </w:r>
          </w:p>
        </w:tc>
        <w:tc>
          <w:tcPr>
            <w:tcW w:type="dxa" w:w="1176"/>
          </w:tcPr>
          <w:p>
            <w:r>
              <w:rPr>
                <w:sz w:val="18"/>
              </w:rPr>
              <w:t>*</w:t>
            </w:r>
          </w:p>
        </w:tc>
      </w:tr>
      <w:tr>
        <w:tc>
          <w:tcPr>
            <w:tcW w:type="dxa" w:w="1176"/>
          </w:tcPr>
          <w:p>
            <w:r>
              <w:rPr>
                <w:sz w:val="18"/>
              </w:rPr>
              <w:t>Survived</w:t>
            </w:r>
          </w:p>
        </w:tc>
        <w:tc>
          <w:tcPr>
            <w:tcW w:type="dxa" w:w="1176"/>
          </w:tcPr>
          <w:p>
            <w:r>
              <w:rPr>
                <w:sz w:val="18"/>
              </w:rPr>
              <w:t>+7 All</w:t>
            </w:r>
          </w:p>
        </w:tc>
        <w:tc>
          <w:tcPr>
            <w:tcW w:type="dxa" w:w="1176"/>
          </w:tcPr>
          <w:p>
            <w:r>
              <w:rPr>
                <w:sz w:val="18"/>
              </w:rPr>
              <w:t>22</w:t>
            </w:r>
          </w:p>
        </w:tc>
        <w:tc>
          <w:tcPr>
            <w:tcW w:type="dxa" w:w="1176"/>
          </w:tcPr>
          <w:p>
            <w:r>
              <w:rPr>
                <w:sz w:val="18"/>
              </w:rPr>
              <w:t>77.3%</w:t>
            </w:r>
          </w:p>
        </w:tc>
        <w:tc>
          <w:tcPr>
            <w:tcW w:type="dxa" w:w="1176"/>
          </w:tcPr>
          <w:p>
            <w:r>
              <w:rPr>
                <w:sz w:val="18"/>
              </w:rPr>
              <w:t>39.2%</w:t>
            </w:r>
          </w:p>
        </w:tc>
        <w:tc>
          <w:tcPr>
            <w:tcW w:type="dxa" w:w="1176"/>
          </w:tcPr>
          <w:p>
            <w:r>
              <w:rPr>
                <w:sz w:val="18"/>
              </w:rPr>
              <w:t>1.972</w:t>
            </w:r>
          </w:p>
        </w:tc>
        <w:tc>
          <w:tcPr>
            <w:tcW w:type="dxa" w:w="1176"/>
          </w:tcPr>
          <w:p>
            <w:r>
              <w:rPr>
                <w:sz w:val="18"/>
              </w:rPr>
              <w:t>0.0017</w:t>
            </w:r>
          </w:p>
        </w:tc>
        <w:tc>
          <w:tcPr>
            <w:tcW w:type="dxa" w:w="1176"/>
          </w:tcPr>
          <w:p>
            <w:r>
              <w:rPr>
                <w:sz w:val="18"/>
              </w:rPr>
              <w:t>*</w:t>
            </w:r>
          </w:p>
        </w:tc>
      </w:tr>
    </w:tbl>
    <w:p>
      <w:r>
        <w:rPr>
          <w:b/>
          <w:sz w:val="20"/>
        </w:rPr>
        <w:t xml:space="preserve">Table 2  </w:t>
      </w:r>
      <w:r>
        <w:rPr>
          <w:sz w:val="20"/>
        </w:rPr>
        <w:t>Maritime closure and conquest across six scenarios. * p &lt; 0.05.</w:t>
      </w:r>
    </w:p>
    <w:p>
      <w:r>
        <w:drawing>
          <wp:inline xmlns:a="http://schemas.openxmlformats.org/drawingml/2006/main" xmlns:pic="http://schemas.openxmlformats.org/drawingml/2006/picture">
            <wp:extent cx="5486400" cy="2282158"/>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486400" cy="2282158"/>
                    </a:xfrm>
                    <a:prstGeom prst="rect"/>
                  </pic:spPr>
                </pic:pic>
              </a:graphicData>
            </a:graphic>
          </wp:inline>
        </w:drawing>
      </w:r>
    </w:p>
    <w:p>
      <w:r>
        <w:rPr>
          <w:b/>
          <w:sz w:val="20"/>
        </w:rPr>
        <w:t xml:space="preserve">Fig. 1  </w:t>
      </w:r>
      <w:r>
        <w:rPr>
          <w:sz w:val="20"/>
        </w:rPr>
        <w:t>Conquest rates comparing maritime closure vs. no closure polities across three reclassification scenarios under both disrupted assignments.</w:t>
      </w:r>
    </w:p>
    <w:p>
      <w:r>
        <w:drawing>
          <wp:inline xmlns:a="http://schemas.openxmlformats.org/drawingml/2006/main" xmlns:pic="http://schemas.openxmlformats.org/drawingml/2006/picture">
            <wp:extent cx="4572000" cy="2833868"/>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4572000" cy="2833868"/>
                    </a:xfrm>
                    <a:prstGeom prst="rect"/>
                  </pic:spPr>
                </pic:pic>
              </a:graphicData>
            </a:graphic>
          </wp:inline>
        </w:drawing>
      </w:r>
    </w:p>
    <w:p>
      <w:r>
        <w:rPr>
          <w:b/>
          <w:sz w:val="20"/>
        </w:rPr>
        <w:t xml:space="preserve">Fig. 2  </w:t>
      </w:r>
      <w:r>
        <w:rPr>
          <w:sz w:val="20"/>
        </w:rPr>
        <w:t>Fisher's exact test p-values for the maritime closure → conquest association as polities are progressively reclassified.</w:t>
      </w:r>
    </w:p>
    <w:p>
      <w:pPr>
        <w:pStyle w:val="Heading1"/>
      </w:pPr>
      <w:r>
        <w:t>5  Sensitivity Analysis: Technical Network Exclusion</w:t>
      </w:r>
    </w:p>
    <w:p>
      <w:pPr>
        <w:pStyle w:val="Heading2"/>
      </w:pPr>
      <w:r>
        <w:t>5.1  Closure-type disaggregation and the dose–response pattern</w:t>
      </w:r>
    </w:p>
    <w:p>
      <w:r>
        <w:t>Figure 3 disaggregates conquest rates by closure type under the 7-country reclassification. A striking gradient emerges. Technically excluded polities—those with zero access to maritime exchange networks—exhibit a 100% conquest rate. Policy-based maritime bans, which restricted but did not entirely eliminate external contact, show lower rates (76.9% under disrupted → overtaken; 69.2% under disrupted → survived). Sakoku polities show 100% and 50% rates under the two assignments, reflecting the borderline case of Tokugawa Japan, which maintained a narrow technological conduit (rangaku) through Dejima. Bloc-type closures show the lowest conquest rates among closure categories, consistent with the interpretation that bloc membership preserves some technology transfer through alliance-internal channels.</w:t>
      </w:r>
    </w:p>
    <w:p>
      <w:r>
        <w:t>This ordering—technical exclusion (100%) &gt; policy ban &gt; sakoku (with partial conduit) &gt; bloc &gt; open—is consistent with a dose–response relationship between the degree of technology flow disruption and the probability of conquest. The more completely a polity was severed from the technological frontier of its era, the higher the likelihood that it was eventually overtaken.</w:t>
      </w:r>
    </w:p>
    <w:p>
      <w:r>
        <w:drawing>
          <wp:inline xmlns:a="http://schemas.openxmlformats.org/drawingml/2006/main" xmlns:pic="http://schemas.openxmlformats.org/drawingml/2006/picture">
            <wp:extent cx="5486400" cy="2282797"/>
            <wp:docPr id="3" name="Pict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5486400" cy="2282797"/>
                    </a:xfrm>
                    <a:prstGeom prst="rect"/>
                  </pic:spPr>
                </pic:pic>
              </a:graphicData>
            </a:graphic>
          </wp:inline>
        </w:drawing>
      </w:r>
    </w:p>
    <w:p>
      <w:r>
        <w:rPr>
          <w:b/>
          <w:sz w:val="20"/>
        </w:rPr>
        <w:t xml:space="preserve">Fig. 3  </w:t>
      </w:r>
      <w:r>
        <w:rPr>
          <w:sz w:val="20"/>
        </w:rPr>
        <w:t>Conquest rates by closure type under the 7-country reclassification scenario.</w:t>
      </w:r>
    </w:p>
    <w:p>
      <w:pPr>
        <w:pStyle w:val="Heading2"/>
      </w:pPr>
      <w:r>
        <w:t>5.2  Robustness of the stock–flow odds ratio</w:t>
      </w:r>
    </w:p>
    <w:p>
      <w:r>
        <w:t>The stock–flow OR = 1.774 is identical across all three reclassification scenarios. This invariance is expected: the reclassification changes the closure-type label but does not alter the stock/flow or outcome coding. Bootstrap validation (5,000 resamples) yields a median OR of 1.794 (95% CI [0.742, 4.601]), confirming the stability of the point estimate and its independence from the closure reclassification.</w:t>
      </w:r>
    </w:p>
    <w:p>
      <w:pPr>
        <w:pStyle w:val="Heading2"/>
      </w:pPr>
      <w:r>
        <w:t>5.3  Multivariate regression stability</w:t>
      </w:r>
    </w:p>
    <w:p>
      <w:r>
        <w:t>Figure 4 presents the multivariate logistic regression results under the 7-country reclassification with disrupted → overtaken. External threat remains the strongest predictor of conquest (p &lt; 0.01 across all scenarios), followed by institutional quality and era (both p &lt; 0.01). The maritime closure indicator is not independently significant after controlling for these covariates. This pattern is informative: it suggests that closure operates not as a direct cause but through the same channels—technological stagnation, institutional decay, and heightened external vulnerability—that the multivariate model already captures (Table 3).</w:t>
      </w:r>
    </w:p>
    <w:p>
      <w:r>
        <w:drawing>
          <wp:inline xmlns:a="http://schemas.openxmlformats.org/drawingml/2006/main" xmlns:pic="http://schemas.openxmlformats.org/drawingml/2006/picture">
            <wp:extent cx="5029200" cy="3753863"/>
            <wp:docPr id="4" name="Picture 4"/>
            <wp:cNvGraphicFramePr>
              <a:graphicFrameLocks noChangeAspect="1"/>
            </wp:cNvGraphicFramePr>
            <a:graphic>
              <a:graphicData uri="http://schemas.openxmlformats.org/drawingml/2006/picture">
                <pic:pic>
                  <pic:nvPicPr>
                    <pic:cNvPr id="0" name="Fig4.png"/>
                    <pic:cNvPicPr/>
                  </pic:nvPicPr>
                  <pic:blipFill>
                    <a:blip r:embed="rId12"/>
                    <a:stretch>
                      <a:fillRect/>
                    </a:stretch>
                  </pic:blipFill>
                  <pic:spPr>
                    <a:xfrm>
                      <a:off x="0" y="0"/>
                      <a:ext cx="5029200" cy="3753863"/>
                    </a:xfrm>
                    <a:prstGeom prst="rect"/>
                  </pic:spPr>
                </pic:pic>
              </a:graphicData>
            </a:graphic>
          </wp:inline>
        </w:drawing>
      </w:r>
    </w:p>
    <w:p>
      <w:r>
        <w:rPr>
          <w:b/>
          <w:sz w:val="20"/>
        </w:rPr>
        <w:t xml:space="preserve">Fig. 4  </w:t>
      </w:r>
      <w:r>
        <w:rPr>
          <w:sz w:val="20"/>
        </w:rPr>
        <w:t>Forest plot of multivariate logistic regression odds ratios (7-country reclassification, disrupted → overtaken).</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20"/>
              </w:rPr>
              <w:t>Variable</w:t>
            </w:r>
          </w:p>
        </w:tc>
        <w:tc>
          <w:tcPr>
            <w:tcW w:type="dxa" w:w="1881"/>
          </w:tcPr>
          <w:p>
            <w:r>
              <w:rPr>
                <w:b/>
                <w:sz w:val="20"/>
              </w:rPr>
              <w:t>OR</w:t>
            </w:r>
          </w:p>
        </w:tc>
        <w:tc>
          <w:tcPr>
            <w:tcW w:type="dxa" w:w="1881"/>
          </w:tcPr>
          <w:p>
            <w:r>
              <w:rPr>
                <w:b/>
                <w:sz w:val="20"/>
              </w:rPr>
              <w:t>95% CI</w:t>
            </w:r>
          </w:p>
        </w:tc>
        <w:tc>
          <w:tcPr>
            <w:tcW w:type="dxa" w:w="1881"/>
          </w:tcPr>
          <w:p>
            <w:r>
              <w:rPr>
                <w:b/>
                <w:sz w:val="20"/>
              </w:rPr>
              <w:t>p-value</w:t>
            </w:r>
          </w:p>
        </w:tc>
        <w:tc>
          <w:tcPr>
            <w:tcW w:type="dxa" w:w="1881"/>
          </w:tcPr>
          <w:p>
            <w:r>
              <w:rPr>
                <w:b/>
                <w:sz w:val="20"/>
              </w:rPr>
              <w:t>Sig.</w:t>
            </w:r>
          </w:p>
        </w:tc>
      </w:tr>
      <w:tr>
        <w:tc>
          <w:tcPr>
            <w:tcW w:type="dxa" w:w="1881"/>
          </w:tcPr>
          <w:p>
            <w:r>
              <w:rPr>
                <w:sz w:val="18"/>
              </w:rPr>
              <w:t>Stock-dominant</w:t>
            </w:r>
          </w:p>
        </w:tc>
        <w:tc>
          <w:tcPr>
            <w:tcW w:type="dxa" w:w="1881"/>
          </w:tcPr>
          <w:p>
            <w:r>
              <w:rPr>
                <w:sz w:val="18"/>
              </w:rPr>
              <w:t>29.619</w:t>
            </w:r>
          </w:p>
        </w:tc>
        <w:tc>
          <w:tcPr>
            <w:tcW w:type="dxa" w:w="1881"/>
          </w:tcPr>
          <w:p>
            <w:r>
              <w:rPr>
                <w:sz w:val="18"/>
              </w:rPr>
              <w:t>[0.452, 1939.410]</w:t>
            </w:r>
          </w:p>
        </w:tc>
        <w:tc>
          <w:tcPr>
            <w:tcW w:type="dxa" w:w="1881"/>
          </w:tcPr>
          <w:p>
            <w:r>
              <w:rPr>
                <w:sz w:val="18"/>
              </w:rPr>
              <w:t>0.1123</w:t>
            </w:r>
          </w:p>
        </w:tc>
        <w:tc>
          <w:tcPr>
            <w:tcW w:type="dxa" w:w="1881"/>
          </w:tcPr>
          <w:p>
            <w:r>
              <w:rPr>
                <w:sz w:val="18"/>
              </w:rPr>
            </w:r>
          </w:p>
        </w:tc>
      </w:tr>
      <w:tr>
        <w:tc>
          <w:tcPr>
            <w:tcW w:type="dxa" w:w="1881"/>
          </w:tcPr>
          <w:p>
            <w:r>
              <w:rPr>
                <w:sz w:val="18"/>
              </w:rPr>
              <w:t>Geographic barrier</w:t>
            </w:r>
          </w:p>
        </w:tc>
        <w:tc>
          <w:tcPr>
            <w:tcW w:type="dxa" w:w="1881"/>
          </w:tcPr>
          <w:p>
            <w:r>
              <w:rPr>
                <w:sz w:val="18"/>
              </w:rPr>
              <w:t>0.003</w:t>
            </w:r>
          </w:p>
        </w:tc>
        <w:tc>
          <w:tcPr>
            <w:tcW w:type="dxa" w:w="1881"/>
          </w:tcPr>
          <w:p>
            <w:r>
              <w:rPr>
                <w:sz w:val="18"/>
              </w:rPr>
              <w:t>[0.000, 2.942]</w:t>
            </w:r>
          </w:p>
        </w:tc>
        <w:tc>
          <w:tcPr>
            <w:tcW w:type="dxa" w:w="1881"/>
          </w:tcPr>
          <w:p>
            <w:r>
              <w:rPr>
                <w:sz w:val="18"/>
              </w:rPr>
              <w:t>0.0983</w:t>
            </w:r>
          </w:p>
        </w:tc>
        <w:tc>
          <w:tcPr>
            <w:tcW w:type="dxa" w:w="1881"/>
          </w:tcPr>
          <w:p>
            <w:r>
              <w:rPr>
                <w:sz w:val="18"/>
              </w:rPr>
              <w:t>†</w:t>
            </w:r>
          </w:p>
        </w:tc>
      </w:tr>
      <w:tr>
        <w:tc>
          <w:tcPr>
            <w:tcW w:type="dxa" w:w="1881"/>
          </w:tcPr>
          <w:p>
            <w:r>
              <w:rPr>
                <w:sz w:val="18"/>
              </w:rPr>
              <w:t>External threat</w:t>
            </w:r>
          </w:p>
        </w:tc>
        <w:tc>
          <w:tcPr>
            <w:tcW w:type="dxa" w:w="1881"/>
          </w:tcPr>
          <w:p>
            <w:r>
              <w:rPr>
                <w:sz w:val="18"/>
              </w:rPr>
              <w:t>1279858.850</w:t>
            </w:r>
          </w:p>
        </w:tc>
        <w:tc>
          <w:tcPr>
            <w:tcW w:type="dxa" w:w="1881"/>
          </w:tcPr>
          <w:p>
            <w:r>
              <w:rPr>
                <w:sz w:val="18"/>
              </w:rPr>
              <w:t>[106.606, &gt;10⁶]</w:t>
            </w:r>
          </w:p>
        </w:tc>
        <w:tc>
          <w:tcPr>
            <w:tcW w:type="dxa" w:w="1881"/>
          </w:tcPr>
          <w:p>
            <w:r>
              <w:rPr>
                <w:sz w:val="18"/>
              </w:rPr>
              <w:t>0.0033</w:t>
            </w:r>
          </w:p>
        </w:tc>
        <w:tc>
          <w:tcPr>
            <w:tcW w:type="dxa" w:w="1881"/>
          </w:tcPr>
          <w:p>
            <w:r>
              <w:rPr>
                <w:sz w:val="18"/>
              </w:rPr>
              <w:t>*</w:t>
            </w:r>
          </w:p>
        </w:tc>
      </w:tr>
      <w:tr>
        <w:tc>
          <w:tcPr>
            <w:tcW w:type="dxa" w:w="1881"/>
          </w:tcPr>
          <w:p>
            <w:r>
              <w:rPr>
                <w:sz w:val="18"/>
              </w:rPr>
              <w:t>Technological position</w:t>
            </w:r>
          </w:p>
        </w:tc>
        <w:tc>
          <w:tcPr>
            <w:tcW w:type="dxa" w:w="1881"/>
          </w:tcPr>
          <w:p>
            <w:r>
              <w:rPr>
                <w:sz w:val="18"/>
              </w:rPr>
              <w:t>6.973</w:t>
            </w:r>
          </w:p>
        </w:tc>
        <w:tc>
          <w:tcPr>
            <w:tcW w:type="dxa" w:w="1881"/>
          </w:tcPr>
          <w:p>
            <w:r>
              <w:rPr>
                <w:sz w:val="18"/>
              </w:rPr>
              <w:t>[0.003, 14940.014]</w:t>
            </w:r>
          </w:p>
        </w:tc>
        <w:tc>
          <w:tcPr>
            <w:tcW w:type="dxa" w:w="1881"/>
          </w:tcPr>
          <w:p>
            <w:r>
              <w:rPr>
                <w:sz w:val="18"/>
              </w:rPr>
              <w:t>0.6197</w:t>
            </w:r>
          </w:p>
        </w:tc>
        <w:tc>
          <w:tcPr>
            <w:tcW w:type="dxa" w:w="1881"/>
          </w:tcPr>
          <w:p>
            <w:r>
              <w:rPr>
                <w:sz w:val="18"/>
              </w:rPr>
            </w:r>
          </w:p>
        </w:tc>
      </w:tr>
      <w:tr>
        <w:tc>
          <w:tcPr>
            <w:tcW w:type="dxa" w:w="1881"/>
          </w:tcPr>
          <w:p>
            <w:r>
              <w:rPr>
                <w:sz w:val="18"/>
              </w:rPr>
              <w:t>Institutional quality</w:t>
            </w:r>
          </w:p>
        </w:tc>
        <w:tc>
          <w:tcPr>
            <w:tcW w:type="dxa" w:w="1881"/>
          </w:tcPr>
          <w:p>
            <w:r>
              <w:rPr>
                <w:sz w:val="18"/>
              </w:rPr>
              <w:t>0.000</w:t>
            </w:r>
          </w:p>
        </w:tc>
        <w:tc>
          <w:tcPr>
            <w:tcW w:type="dxa" w:w="1881"/>
          </w:tcPr>
          <w:p>
            <w:r>
              <w:rPr>
                <w:sz w:val="18"/>
              </w:rPr>
              <w:t>[0.000, 0.020]</w:t>
            </w:r>
          </w:p>
        </w:tc>
        <w:tc>
          <w:tcPr>
            <w:tcW w:type="dxa" w:w="1881"/>
          </w:tcPr>
          <w:p>
            <w:r>
              <w:rPr>
                <w:sz w:val="18"/>
              </w:rPr>
              <w:t>0.0074</w:t>
            </w:r>
          </w:p>
        </w:tc>
        <w:tc>
          <w:tcPr>
            <w:tcW w:type="dxa" w:w="1881"/>
          </w:tcPr>
          <w:p>
            <w:r>
              <w:rPr>
                <w:sz w:val="18"/>
              </w:rPr>
              <w:t>*</w:t>
            </w:r>
          </w:p>
        </w:tc>
      </w:tr>
      <w:tr>
        <w:tc>
          <w:tcPr>
            <w:tcW w:type="dxa" w:w="1881"/>
          </w:tcPr>
          <w:p>
            <w:r>
              <w:rPr>
                <w:sz w:val="18"/>
              </w:rPr>
              <w:t>Era (time)</w:t>
            </w:r>
          </w:p>
        </w:tc>
        <w:tc>
          <w:tcPr>
            <w:tcW w:type="dxa" w:w="1881"/>
          </w:tcPr>
          <w:p>
            <w:r>
              <w:rPr>
                <w:sz w:val="18"/>
              </w:rPr>
              <w:t>0.053</w:t>
            </w:r>
          </w:p>
        </w:tc>
        <w:tc>
          <w:tcPr>
            <w:tcW w:type="dxa" w:w="1881"/>
          </w:tcPr>
          <w:p>
            <w:r>
              <w:rPr>
                <w:sz w:val="18"/>
              </w:rPr>
              <w:t>[0.006, 0.486]</w:t>
            </w:r>
          </w:p>
        </w:tc>
        <w:tc>
          <w:tcPr>
            <w:tcW w:type="dxa" w:w="1881"/>
          </w:tcPr>
          <w:p>
            <w:r>
              <w:rPr>
                <w:sz w:val="18"/>
              </w:rPr>
              <w:t>0.0093</w:t>
            </w:r>
          </w:p>
        </w:tc>
        <w:tc>
          <w:tcPr>
            <w:tcW w:type="dxa" w:w="1881"/>
          </w:tcPr>
          <w:p>
            <w:r>
              <w:rPr>
                <w:sz w:val="18"/>
              </w:rPr>
              <w:t>*</w:t>
            </w:r>
          </w:p>
        </w:tc>
      </w:tr>
      <w:tr>
        <w:tc>
          <w:tcPr>
            <w:tcW w:type="dxa" w:w="1881"/>
          </w:tcPr>
          <w:p>
            <w:r>
              <w:rPr>
                <w:sz w:val="18"/>
              </w:rPr>
              <w:t>External patron</w:t>
            </w:r>
          </w:p>
        </w:tc>
        <w:tc>
          <w:tcPr>
            <w:tcW w:type="dxa" w:w="1881"/>
          </w:tcPr>
          <w:p>
            <w:r>
              <w:rPr>
                <w:sz w:val="18"/>
              </w:rPr>
              <w:t>0.309</w:t>
            </w:r>
          </w:p>
        </w:tc>
        <w:tc>
          <w:tcPr>
            <w:tcW w:type="dxa" w:w="1881"/>
          </w:tcPr>
          <w:p>
            <w:r>
              <w:rPr>
                <w:sz w:val="18"/>
              </w:rPr>
              <w:t>[0.017, 5.520]</w:t>
            </w:r>
          </w:p>
        </w:tc>
        <w:tc>
          <w:tcPr>
            <w:tcW w:type="dxa" w:w="1881"/>
          </w:tcPr>
          <w:p>
            <w:r>
              <w:rPr>
                <w:sz w:val="18"/>
              </w:rPr>
              <w:t>0.4247</w:t>
            </w:r>
          </w:p>
        </w:tc>
        <w:tc>
          <w:tcPr>
            <w:tcW w:type="dxa" w:w="1881"/>
          </w:tcPr>
          <w:p>
            <w:r>
              <w:rPr>
                <w:sz w:val="18"/>
              </w:rPr>
            </w:r>
          </w:p>
        </w:tc>
      </w:tr>
      <w:tr>
        <w:tc>
          <w:tcPr>
            <w:tcW w:type="dxa" w:w="1881"/>
          </w:tcPr>
          <w:p>
            <w:r>
              <w:rPr>
                <w:sz w:val="18"/>
              </w:rPr>
              <w:t>Maritime closure dummy</w:t>
            </w:r>
          </w:p>
        </w:tc>
        <w:tc>
          <w:tcPr>
            <w:tcW w:type="dxa" w:w="1881"/>
          </w:tcPr>
          <w:p>
            <w:r>
              <w:rPr>
                <w:sz w:val="18"/>
              </w:rPr>
              <w:t>0.705</w:t>
            </w:r>
          </w:p>
        </w:tc>
        <w:tc>
          <w:tcPr>
            <w:tcW w:type="dxa" w:w="1881"/>
          </w:tcPr>
          <w:p>
            <w:r>
              <w:rPr>
                <w:sz w:val="18"/>
              </w:rPr>
              <w:t>[0.013, 37.496]</w:t>
            </w:r>
          </w:p>
        </w:tc>
        <w:tc>
          <w:tcPr>
            <w:tcW w:type="dxa" w:w="1881"/>
          </w:tcPr>
          <w:p>
            <w:r>
              <w:rPr>
                <w:sz w:val="18"/>
              </w:rPr>
              <w:t>0.8630</w:t>
            </w:r>
          </w:p>
        </w:tc>
        <w:tc>
          <w:tcPr>
            <w:tcW w:type="dxa" w:w="1881"/>
          </w:tcPr>
          <w:p>
            <w:r>
              <w:rPr>
                <w:sz w:val="18"/>
              </w:rPr>
            </w:r>
          </w:p>
        </w:tc>
      </w:tr>
    </w:tbl>
    <w:p>
      <w:r>
        <w:rPr>
          <w:b/>
          <w:sz w:val="20"/>
        </w:rPr>
        <w:t xml:space="preserve">Table 3  </w:t>
      </w:r>
      <w:r>
        <w:rPr>
          <w:sz w:val="20"/>
        </w:rPr>
        <w:t>Multivariate logistic regression results (7-country reclassification, disrupted → overtaken). * p &lt; 0.05, † p &lt; 0.10.</w:t>
      </w:r>
    </w:p>
    <w:p>
      <w:pPr>
        <w:pStyle w:val="Heading1"/>
      </w:pPr>
      <w:r>
        <w:t>6  Discussion</w:t>
      </w:r>
    </w:p>
    <w:p>
      <w:pPr>
        <w:pStyle w:val="Heading2"/>
      </w:pPr>
      <w:r>
        <w:t>6.1  The mechanism: technology flow disruption and cumulative divergence</w:t>
      </w:r>
    </w:p>
    <w:p>
      <w:r>
        <w:t>The central finding is that the closure–conquest association becomes significant only when technically excluded polities are grouped with deliberately closed ones. This tells us something important about the mechanism at work. If closure harmed states solely through lost trade revenue or reduced diplomatic leverage, then only deliberate closure—which blocks trade but not necessarily knowledge—should matter. The fact that technical exclusion (which severs both trade and technology flow) strengthens the association, while policy-based closure alone does not reach significance, points toward technology flow as the critical channel.</w:t>
      </w:r>
    </w:p>
    <w:p>
      <w:r>
        <w:t>The dose–response pattern in Figure 3 reinforces this interpretation. Technical exclusion (zero technology transfer) produces a 100% conquest rate. Policy-based maritime bans, which restrict but do not eliminate technology flow, show conquest rates below 80%. The case of Tokugawa Japan is particularly instructive: despite the comprehensive closure of sakoku, the Tokugawa regime deliberately maintained a narrow conduit for Western scientific and technical knowledge (rangaku) through the Dutch trading post at Dejima. This selective preservation of a technology transfer channel—even within an otherwise closed system—appears to have made a material difference. Japan was disrupted by the forced opening of 1853–54 but was not conquered; it reconstituted itself as the Meiji state and rapidly closed the technology gap. Bloc closures, which preserve substantial within-bloc technology sharing, show the lowest rates among closure categories. The ordering of conquest risk mirrors the ordering of technology flow disruption.</w:t>
      </w:r>
    </w:p>
    <w:p>
      <w:r>
        <w:t>The multivariate results complete the picture. External threat and institutional quality are the strongest predictors of conquest, and the maritime closure indicator loses significance after their inclusion (Table 3, Fig. 4). This is precisely what a technology-gap mechanism would predict: closure does not kill states directly. Rather, it initiates a causal chain—technological stagnation erodes institutional adaptive capacity, which in turn leaves the polity unable to respond to external threats. The mediating variables (external threat, institutional quality) absorb the explanatory power of the closure variable because they lie downstream in the causal pathway.</w:t>
      </w:r>
    </w:p>
    <w:p>
      <w:pPr>
        <w:pStyle w:val="Heading2"/>
      </w:pPr>
      <w:r>
        <w:t>6.2  First contact and the tragedy of civilizational divergence</w:t>
      </w:r>
    </w:p>
    <w:p>
      <w:r>
        <w:t>Our findings can be read as a quantitative formulation of a long-recognized historical pattern: when civilizations that have developed in isolation encounter a technologically superior civilization, the outcome is overwhelmingly unfavorable for the less advanced party (Diamond 1997; Diamond and Bellwood 2003). The 100% conquest rate among technically excluded polities is striking not because the pattern is new, but because it emerges from a systematic, cross-historical dataset rather than from selective case studies.</w:t>
      </w:r>
    </w:p>
    <w:p>
      <w:r>
        <w:t>The mechanism we propose is cumulative divergence through technology flow disruption. International exchange networks carried not only goods but military techniques, metallurgical innovations, navigational knowledge, and institutional models (Mokyr 2002; Pomeranz 2000). Polities connected to these networks could adopt, adapt, and build upon innovations generated elsewhere. Polities severed from them could not. Over generations, the technology gap widened. When contact eventually occurred—typically through military expansion by the more connected civilization—the accumulated gap proved decisive. The Han Dynasty encountered Central Asian and eventually Roman-linked military traditions; the Khmer Empire faced the expanding Siamese and Vietnamese states that were integrated into maritime trade networks; Kievan Rus' was overrun by the Mongol armies that had absorbed the military technologies of multiple civilizations across Eurasia.</w:t>
      </w:r>
    </w:p>
    <w:p>
      <w:r>
        <w:t>Crucially, the tragedy of first contact is a function of the gap, not of the contact itself. Policy-closed polities that maintained narrow conduits of technology transfer—Japan's rangaku, Qing China's limited Canton trade—accumulated smaller gaps and, correspondingly, were more likely to survive or reconstitute after disruption. The implication is that what determines the outcome of civilizational encounter is the degree and duration of technology flow disruption that preceded it.</w:t>
      </w:r>
    </w:p>
    <w:p>
      <w:r>
        <w:t>This finding has a corollary that is worth stating explicitly. If the critical variable is not closure itself but the residual technology flow that closure permits, then polities that close their borders while deliberately maintaining selective channels for frontier knowledge occupy a qualitatively different position from those that are totally severed. Our dataset contains several instances of such conditional closure. Tokugawa Japan preserved access to Western science through rangaku at Dejima and was disrupted but not conquered, reconstituting itself as the Meiji state. Early Qing China maintained the Canton system—a single, tightly controlled port of trade through which some foreign knowledge filtered—and survived the Kangxi–Qianlong era intact. Joseon Korea sustained tributary trade with China, which served as a conduit for Continental knowledge and technology. The Soviet Union, while sealed from the Western bloc, maintained extensive technology sharing within the Eastern bloc and invested heavily in indigenous research institutions. North Korea has preserved a limited technology channel through its relationship with China.</w:t>
      </w:r>
    </w:p>
    <w:p>
      <w:r>
        <w:t>The outcomes, however, are mixed. Early Qing China survived, but late Qing China—operating under the same Canton system—was semi-colonized after the Opium Wars. Tokugawa Japan survived as a political entity, but Joseon Korea, despite its Chinese conduit, was annexed by Japan in 1910. The Soviet Union collapsed internally despite its bloc-level technology sharing, while North Korea has persisted under extreme isolation with minimal Chinese patronage. These divergent outcomes suggest that the mere existence of a selective channel does not guarantee survival; unmeasured factors—the breadth and relevance of the knowledge flowing through the channel, the domestic capacity to absorb and adapt that knowledge, the pace of change at the technological frontier, and institutional dynamics that our dataset does not capture—likely condition the effectiveness of conditional closure. The policy question, then, is not binary (open or closed) but conditional, and the conditions under which selective channels suffice to prevent a fatal technology gap remain an open and consequential problem for future research.</w:t>
      </w:r>
    </w:p>
    <w:p>
      <w:pPr>
        <w:pStyle w:val="Heading2"/>
      </w:pPr>
      <w:r>
        <w:t>6.3  Beyond maritime isolation: technological access exclusion in the modern era</w:t>
      </w:r>
    </w:p>
    <w:p>
      <w:r>
        <w:t>If the mechanism we identify is technology flow disruption rather than maritime closure per se, then the pattern should generalize beyond the age of sail. Each era has its own dominant technological platform—the infrastructure through which frontier knowledge diffuses across states. In antiquity, it was the Mediterranean trade routes and Silk Road caravans. In the early modern period, it was oceanic shipping. In the industrial age, it was railroad-linked factory systems and colonial supply chains. In the twentieth century, it was aerospace and nuclear technology networks.</w:t>
      </w:r>
    </w:p>
    <w:p>
      <w:r>
        <w:t>Today, the dominant platform has shifted again. The critical networks are semiconductor supply chains, artificial intelligence research ecosystems, and advanced robotics and automation infrastructure (Acemoglu and Restrepo 2020; Comin and Mestieri 2018). Comin et al. (2010) show that technology adoption levels in 1000 BC predict income differences today, while Acemoglu et al. (2002) demonstrate that colonial-era institutional reversals reshaped global inequality—both consistent with the view that early technological access has persistent, cumulative consequences. Geographic isolation no longer blocks physical trade—the completion of global shipping and communication networks has largely eliminated technical maritime exclusion as a threat. But a new form of structural exclusion has emerged: states may be cut off from the technological frontier not by mountains and oceans but by export controls on advanced semiconductors, by the concentration of AI training infrastructure in a handful of countries, or by the institutional and human-capital barriers that prevent participation in cutting-edge research networks.</w:t>
      </w:r>
    </w:p>
    <w:p>
      <w:r>
        <w:t>The historical parallel is direct. Just as the Khmer Empire or the Timurid dynasty could not access the maritime networks that carried military and institutional innovations, a contemporary state excluded from advanced semiconductor fabrication or AI model development may find itself on the wrong side of a widening technology gap. If the gap grows large enough, the eventual 'first contact'—whether military, economic, or geopolitical—may produce outcomes analogous to those documented in our historical dataset. The form of the dominant network changes; the logic of cumulative divergence through exclusion does not.</w:t>
      </w:r>
    </w:p>
    <w:p>
      <w:r>
        <w:t>We stress that this extrapolation is speculative and cannot be tested within our historical dataset. The contemporary world differs from the premodern era in ways that may attenuate or amplify the mechanism: nuclear deterrence, international institutions, and the speed of modern communication all introduce novel dynamics. Nevertheless, the historical regularity we document—that structural exclusion from the dominant technological network is associated with state collapse—provides a framework for thinking about which dimensions of modern technological access may be most consequential.</w:t>
      </w:r>
    </w:p>
    <w:p>
      <w:pPr>
        <w:pStyle w:val="Heading2"/>
      </w:pPr>
      <w:r>
        <w:t>6.4  Robustness of the stock–flow framework and the question of resource-base transitions</w:t>
      </w:r>
    </w:p>
    <w:p>
      <w:r>
        <w:t>The invariance of the stock–flow OR (1.774) across all reclassification scenarios confirms that the core finding of the stock–flow framework—that stock-oriented polities face moderately higher conquest risk—is independent of how maritime isolation is defined. The reclassification changes the closure subanalysis but leaves the primary classification untouched. This separation is analytically useful: it shows that the stock–flow distinction and the closure–conquest association capture related but distinct dimensions of state vulnerability.</w:t>
      </w:r>
    </w:p>
    <w:p>
      <w:r>
        <w:t>Crossing these two dimensions yields a four-cell classification whose conquest rates are reported in Table 4. Flow-oriented polities without closure show the lowest conquest rate (57.4%, n = 47). Stock-oriented polities without closure show a moderately elevated rate (66.7%, n = 27). Stock-oriented polities with closure show a markedly higher rate (83.3%, n = 18). Flow-oriented polities with closure—a small cell (n = 4)—show a 100.0% conquest rate. The contrast between the highest- and lowest-risk cells (stock + closed vs. flow + open) yields an odds ratio of 3.70 (one-sided Fisher exact p = 0.045). Within stock-oriented polities, the effect of closure corresponds to an OR of 2.50 (p = 0.187). Within flow-oriented polities, the effect of closure yields an OR of ∞ (p = 0.126), though the cell size (n = 4) precludes reliable inference.</w:t>
      </w:r>
    </w:p>
    <w:p/>
    <w:p>
      <w:pPr>
        <w:jc w:val="center"/>
      </w:pPr>
      <w:r>
        <w:rPr>
          <w:b/>
          <w:sz w:val="20"/>
        </w:rPr>
        <w:t>Table 4  Conquest rates by resource-base orientation and closure status (7-country reclassification, disrupted = conquered)</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pPr>
              <w:jc w:val="center"/>
            </w:pPr>
            <w:r>
              <w:rPr>
                <w:b/>
                <w:sz w:val="20"/>
              </w:rPr>
            </w:r>
          </w:p>
        </w:tc>
        <w:tc>
          <w:tcPr>
            <w:tcW w:type="dxa" w:w="1881"/>
          </w:tcPr>
          <w:p>
            <w:pPr>
              <w:jc w:val="center"/>
            </w:pPr>
            <w:r>
              <w:rPr>
                <w:b/>
                <w:sz w:val="20"/>
              </w:rPr>
              <w:t>Conquered</w:t>
            </w:r>
          </w:p>
        </w:tc>
        <w:tc>
          <w:tcPr>
            <w:tcW w:type="dxa" w:w="1881"/>
          </w:tcPr>
          <w:p>
            <w:pPr>
              <w:jc w:val="center"/>
            </w:pPr>
            <w:r>
              <w:rPr>
                <w:b/>
                <w:sz w:val="20"/>
              </w:rPr>
              <w:t>Survived</w:t>
            </w:r>
          </w:p>
        </w:tc>
        <w:tc>
          <w:tcPr>
            <w:tcW w:type="dxa" w:w="1881"/>
          </w:tcPr>
          <w:p>
            <w:pPr>
              <w:jc w:val="center"/>
            </w:pPr>
            <w:r>
              <w:rPr>
                <w:b/>
                <w:sz w:val="20"/>
              </w:rPr>
              <w:t>n</w:t>
            </w:r>
          </w:p>
        </w:tc>
        <w:tc>
          <w:tcPr>
            <w:tcW w:type="dxa" w:w="1881"/>
          </w:tcPr>
          <w:p>
            <w:pPr>
              <w:jc w:val="center"/>
            </w:pPr>
            <w:r>
              <w:rPr>
                <w:b/>
                <w:sz w:val="20"/>
              </w:rPr>
              <w:t>Rate</w:t>
            </w:r>
          </w:p>
        </w:tc>
      </w:tr>
      <w:tr>
        <w:tc>
          <w:tcPr>
            <w:tcW w:type="dxa" w:w="1881"/>
          </w:tcPr>
          <w:p>
            <w:pPr>
              <w:jc w:val="center"/>
            </w:pPr>
            <w:r>
              <w:rPr>
                <w:sz w:val="20"/>
              </w:rPr>
              <w:t>Stock + closed</w:t>
            </w:r>
          </w:p>
        </w:tc>
        <w:tc>
          <w:tcPr>
            <w:tcW w:type="dxa" w:w="1881"/>
          </w:tcPr>
          <w:p>
            <w:pPr>
              <w:jc w:val="center"/>
            </w:pPr>
            <w:r>
              <w:rPr>
                <w:sz w:val="20"/>
              </w:rPr>
              <w:t>15</w:t>
            </w:r>
          </w:p>
        </w:tc>
        <w:tc>
          <w:tcPr>
            <w:tcW w:type="dxa" w:w="1881"/>
          </w:tcPr>
          <w:p>
            <w:pPr>
              <w:jc w:val="center"/>
            </w:pPr>
            <w:r>
              <w:rPr>
                <w:sz w:val="20"/>
              </w:rPr>
              <w:t>3</w:t>
            </w:r>
          </w:p>
        </w:tc>
        <w:tc>
          <w:tcPr>
            <w:tcW w:type="dxa" w:w="1881"/>
          </w:tcPr>
          <w:p>
            <w:pPr>
              <w:jc w:val="center"/>
            </w:pPr>
            <w:r>
              <w:rPr>
                <w:sz w:val="20"/>
              </w:rPr>
              <w:t>18</w:t>
            </w:r>
          </w:p>
        </w:tc>
        <w:tc>
          <w:tcPr>
            <w:tcW w:type="dxa" w:w="1881"/>
          </w:tcPr>
          <w:p>
            <w:pPr>
              <w:jc w:val="center"/>
            </w:pPr>
            <w:r>
              <w:rPr>
                <w:sz w:val="20"/>
              </w:rPr>
              <w:t>83.3%</w:t>
            </w:r>
          </w:p>
        </w:tc>
      </w:tr>
      <w:tr>
        <w:tc>
          <w:tcPr>
            <w:tcW w:type="dxa" w:w="1881"/>
          </w:tcPr>
          <w:p>
            <w:pPr>
              <w:jc w:val="center"/>
            </w:pPr>
            <w:r>
              <w:rPr>
                <w:sz w:val="20"/>
              </w:rPr>
              <w:t>Stock + open</w:t>
            </w:r>
          </w:p>
        </w:tc>
        <w:tc>
          <w:tcPr>
            <w:tcW w:type="dxa" w:w="1881"/>
          </w:tcPr>
          <w:p>
            <w:pPr>
              <w:jc w:val="center"/>
            </w:pPr>
            <w:r>
              <w:rPr>
                <w:sz w:val="20"/>
              </w:rPr>
              <w:t>18</w:t>
            </w:r>
          </w:p>
        </w:tc>
        <w:tc>
          <w:tcPr>
            <w:tcW w:type="dxa" w:w="1881"/>
          </w:tcPr>
          <w:p>
            <w:pPr>
              <w:jc w:val="center"/>
            </w:pPr>
            <w:r>
              <w:rPr>
                <w:sz w:val="20"/>
              </w:rPr>
              <w:t>9</w:t>
            </w:r>
          </w:p>
        </w:tc>
        <w:tc>
          <w:tcPr>
            <w:tcW w:type="dxa" w:w="1881"/>
          </w:tcPr>
          <w:p>
            <w:pPr>
              <w:jc w:val="center"/>
            </w:pPr>
            <w:r>
              <w:rPr>
                <w:sz w:val="20"/>
              </w:rPr>
              <w:t>27</w:t>
            </w:r>
          </w:p>
        </w:tc>
        <w:tc>
          <w:tcPr>
            <w:tcW w:type="dxa" w:w="1881"/>
          </w:tcPr>
          <w:p>
            <w:pPr>
              <w:jc w:val="center"/>
            </w:pPr>
            <w:r>
              <w:rPr>
                <w:sz w:val="20"/>
              </w:rPr>
              <w:t>66.7%</w:t>
            </w:r>
          </w:p>
        </w:tc>
      </w:tr>
      <w:tr>
        <w:tc>
          <w:tcPr>
            <w:tcW w:type="dxa" w:w="1881"/>
          </w:tcPr>
          <w:p>
            <w:pPr>
              <w:jc w:val="center"/>
            </w:pPr>
            <w:r>
              <w:rPr>
                <w:sz w:val="20"/>
              </w:rPr>
              <w:t>Flow + closed</w:t>
            </w:r>
          </w:p>
        </w:tc>
        <w:tc>
          <w:tcPr>
            <w:tcW w:type="dxa" w:w="1881"/>
          </w:tcPr>
          <w:p>
            <w:pPr>
              <w:jc w:val="center"/>
            </w:pPr>
            <w:r>
              <w:rPr>
                <w:sz w:val="20"/>
              </w:rPr>
              <w:t>4</w:t>
            </w:r>
          </w:p>
        </w:tc>
        <w:tc>
          <w:tcPr>
            <w:tcW w:type="dxa" w:w="1881"/>
          </w:tcPr>
          <w:p>
            <w:pPr>
              <w:jc w:val="center"/>
            </w:pPr>
            <w:r>
              <w:rPr>
                <w:sz w:val="20"/>
              </w:rPr>
              <w:t>0</w:t>
            </w:r>
          </w:p>
        </w:tc>
        <w:tc>
          <w:tcPr>
            <w:tcW w:type="dxa" w:w="1881"/>
          </w:tcPr>
          <w:p>
            <w:pPr>
              <w:jc w:val="center"/>
            </w:pPr>
            <w:r>
              <w:rPr>
                <w:sz w:val="20"/>
              </w:rPr>
              <w:t>4</w:t>
            </w:r>
          </w:p>
        </w:tc>
        <w:tc>
          <w:tcPr>
            <w:tcW w:type="dxa" w:w="1881"/>
          </w:tcPr>
          <w:p>
            <w:pPr>
              <w:jc w:val="center"/>
            </w:pPr>
            <w:r>
              <w:rPr>
                <w:sz w:val="20"/>
              </w:rPr>
              <w:t>100.0%</w:t>
            </w:r>
          </w:p>
        </w:tc>
      </w:tr>
      <w:tr>
        <w:tc>
          <w:tcPr>
            <w:tcW w:type="dxa" w:w="1881"/>
          </w:tcPr>
          <w:p>
            <w:pPr>
              <w:jc w:val="center"/>
            </w:pPr>
            <w:r>
              <w:rPr>
                <w:sz w:val="20"/>
              </w:rPr>
              <w:t>Flow + open</w:t>
            </w:r>
          </w:p>
        </w:tc>
        <w:tc>
          <w:tcPr>
            <w:tcW w:type="dxa" w:w="1881"/>
          </w:tcPr>
          <w:p>
            <w:pPr>
              <w:jc w:val="center"/>
            </w:pPr>
            <w:r>
              <w:rPr>
                <w:sz w:val="20"/>
              </w:rPr>
              <w:t>27</w:t>
            </w:r>
          </w:p>
        </w:tc>
        <w:tc>
          <w:tcPr>
            <w:tcW w:type="dxa" w:w="1881"/>
          </w:tcPr>
          <w:p>
            <w:pPr>
              <w:jc w:val="center"/>
            </w:pPr>
            <w:r>
              <w:rPr>
                <w:sz w:val="20"/>
              </w:rPr>
              <w:t>20</w:t>
            </w:r>
          </w:p>
        </w:tc>
        <w:tc>
          <w:tcPr>
            <w:tcW w:type="dxa" w:w="1881"/>
          </w:tcPr>
          <w:p>
            <w:pPr>
              <w:jc w:val="center"/>
            </w:pPr>
            <w:r>
              <w:rPr>
                <w:sz w:val="20"/>
              </w:rPr>
              <w:t>47</w:t>
            </w:r>
          </w:p>
        </w:tc>
        <w:tc>
          <w:tcPr>
            <w:tcW w:type="dxa" w:w="1881"/>
          </w:tcPr>
          <w:p>
            <w:pPr>
              <w:jc w:val="center"/>
            </w:pPr>
            <w:r>
              <w:rPr>
                <w:sz w:val="20"/>
              </w:rPr>
              <w:t>57.4%</w:t>
            </w:r>
          </w:p>
        </w:tc>
      </w:tr>
    </w:tbl>
    <w:p>
      <w:r>
        <w:rPr>
          <w:i/>
          <w:sz w:val="18"/>
        </w:rPr>
        <w:t>Fisher exact tests (one-sided): stock + closed vs. flow + open, OR = 3.70, p = 0.045; within stock, closed vs. open, OR = 2.50, p = 0.187; within flow, closed vs. open, OR = ∞, p = 0.126.</w:t>
      </w:r>
    </w:p>
    <w:p>
      <w:r>
        <w:t>The pattern is consistent with the hypothesis that stock-orientation and network exclusion compound each other's risk, though the small cell sizes—particularly for flow + closed (n = 4)—warrant caution. The stock + closed combination is the only cell to reach a statistically significant difference from the baseline flow + open cell at conventional levels.</w:t>
      </w:r>
    </w:p>
    <w:p>
      <w:r>
        <w:t>An implication worth noting is that the stock–flow distinction is not permanently fixed for any given state. Polities can transition from flow-oriented to stock-oriented resource bases—or vice versa—as economic structures, demographic conditions, and institutional incentives evolve. A state that was historically flow-oriented (trade-dependent, outward-looking, innovation-absorbing) but that gradually shifts toward reliance on accumulated domestic assets—physical capital, territorial resources, existing institutional infrastructure—moves into the higher-risk stock category. If such a transition coincides with reduced engagement in the dominant technological network of the era, the compounding of stock-orientation and network exclusion could amplify vulnerability. Our dataset cannot test this dynamic directly, as polities are coded at a single point in time, but the theoretical interaction between resource-base transition and network access merits further investigation.</w:t>
      </w:r>
    </w:p>
    <w:p>
      <w:pPr>
        <w:pStyle w:val="Heading2"/>
      </w:pPr>
      <w:r>
        <w:t>6.5  Limitations</w:t>
      </w:r>
    </w:p>
    <w:p>
      <w:r>
        <w:t>Several limitations warrant acknowledgment. First, the coding of historical polities inevitably involves subjective judgment, particularly for the stock/flow classification and the identification of technical exclusion candidates. The tiered approach (strong vs. moderate candidates) and the six-scenario sensitivity design partially address this, but cannot eliminate it. Second, the sample size (N = 96) constrains the power of the multivariate analyses; wide confidence intervals for some regression coefficients reflect this constraint. Third, the dataset treats polities as independent observations, though historical interconnections (e.g., sequential Chinese dynasties sharing institutional continuity) may introduce non-independence. Fourth, the 'disrupted' category introduces a classification ambiguity that the dual-assignment design addresses but cannot fully resolve. Fifth, the forward-looking extension to modern technological exclusion is necessarily speculative, as the mechanisms operating in a nuclear-armed, institutionally dense modern world may differ qualitatively from those in premodern eras.</w:t>
      </w:r>
    </w:p>
    <w:p>
      <w:pPr>
        <w:pStyle w:val="Heading1"/>
      </w:pPr>
      <w:r>
        <w:t>7  Conclusion</w:t>
      </w:r>
    </w:p>
    <w:p>
      <w:r>
        <w:t>This paper has shown that reclassifying seven technically excluded polities—those severed from the maritime exchange networks of their era by geography and technology rather than by policy—transforms a non-significant association between closure and conquest into a significant one (p = 0.020), while the core stock–flow odds ratio remains unchanged (OR = 1.774). The 100% conquest rate among technically excluded polities, the dose–response gradient across closure types, and the absorption of the closure effect by external threat and institutional quality in multivariate models all point to a consistent mechanism: disruption of technology flow leads to cumulative divergence from the technological frontier, eroding the institutional and military capacity needed to survive contact with more connected civilizations.</w:t>
      </w:r>
    </w:p>
    <w:p>
      <w:r>
        <w:t>The broader implication is that this mechanism is not specific to maritime trade. In every era, there exists a dominant network through which frontier technologies diffuse. Polities excluded from that network—whether by oceans, mountains, policy, or, in the contemporary period, by semiconductor export controls and AI infrastructure concentration—risk falling into the same pattern of cumulative divergence. The historical record we document provides a quantitative baseline for assessing this risk. Whether the tragedy of first contact between unequally developed civilizations will find new expression in the age of artificial intelligence is a question that the coming decades will answer; our analysis suggests it is one worth asking. Equally pressing is the converse question suggested by the Tokugawa precedent: whether a state that recognizes the risk of network exclusion can, through deliberate maintenance of selective technology channels, prevent the accumulation of a fatal gap—even while restricting broader engagement with the outside world.</w:t>
      </w:r>
    </w:p>
    <w:p>
      <w:pPr>
        <w:pStyle w:val="Heading1"/>
      </w:pPr>
      <w:r>
        <w:t>References</w:t>
      </w:r>
    </w:p>
    <w:p>
      <w:pPr>
        <w:ind w:hanging="567" w:left="567"/>
      </w:pPr>
      <w:r>
        <w:rPr>
          <w:sz w:val="22"/>
        </w:rPr>
        <w:t>Acemoglu D, Johnson S, Robinson JA (2002) Reversal of fortune: geography and institutions in the making of the modern world income distribution. Q J Econ 117:1231–1294. https://doi.org/10.1162/003355302320935025</w:t>
      </w:r>
    </w:p>
    <w:p>
      <w:pPr>
        <w:ind w:hanging="567" w:left="567"/>
      </w:pPr>
      <w:r>
        <w:rPr>
          <w:sz w:val="22"/>
        </w:rPr>
        <w:t>Acemoglu D, Johnson S, Robinson JA (2005) Institutions as a fundamental cause of long-run growth. In: Aghion P, Durlauf SN (eds) Handbook of economic growth, vol 1A. Elsevier, Amsterdam, pp 385–472</w:t>
      </w:r>
    </w:p>
    <w:p>
      <w:pPr>
        <w:ind w:hanging="567" w:left="567"/>
      </w:pPr>
      <w:r>
        <w:rPr>
          <w:sz w:val="22"/>
        </w:rPr>
        <w:t>Acemoglu D, Restrepo P (2020) Robots and jobs: evidence from US labor markets. J Polit Econ 128:2188–2244. https://doi.org/10.1086/705716</w:t>
      </w:r>
    </w:p>
    <w:p>
      <w:pPr>
        <w:ind w:hanging="567" w:left="567"/>
      </w:pPr>
      <w:r>
        <w:rPr>
          <w:sz w:val="22"/>
        </w:rPr>
        <w:t>Arrighi G (1994) The long twentieth century: money, power, and the origins of our times. Verso, London</w:t>
      </w:r>
    </w:p>
    <w:p>
      <w:pPr>
        <w:ind w:hanging="567" w:left="567"/>
      </w:pPr>
      <w:r>
        <w:rPr>
          <w:sz w:val="22"/>
        </w:rPr>
        <w:t>Broadberry SN, Guan H (2026) Regional variation of GDP per head within China, 1080–1850. Explor Econ Hist 95:101567. https://doi.org/10.1016/j.eeh.2025.101567</w:t>
      </w:r>
    </w:p>
    <w:p>
      <w:pPr>
        <w:ind w:hanging="567" w:left="567"/>
      </w:pPr>
      <w:r>
        <w:rPr>
          <w:sz w:val="22"/>
        </w:rPr>
        <w:t>Comin D, Easterly W, Gong E (2010) Was the wealth of nations determined in 1000 BC? Am Econ J Macroecon 2:65–97. https://doi.org/10.1257/mac.2.3.65</w:t>
      </w:r>
    </w:p>
    <w:p>
      <w:pPr>
        <w:ind w:hanging="567" w:left="567"/>
      </w:pPr>
      <w:r>
        <w:rPr>
          <w:sz w:val="22"/>
        </w:rPr>
        <w:t>Comin D, Mestieri M (2018) If technology has arrived everywhere, why has income diverged? Am Econ J Macroecon 10:137–178. https://doi.org/10.1257/mac.20150175</w:t>
      </w:r>
    </w:p>
    <w:p>
      <w:pPr>
        <w:ind w:hanging="567" w:left="567"/>
      </w:pPr>
      <w:r>
        <w:rPr>
          <w:sz w:val="22"/>
        </w:rPr>
        <w:t>De Vries J (2010) The limits of globalization in the early modern world. Econ Hist Rev 63:710–733. https://doi.org/10.1111/j.1468-0289.2009.00497.x</w:t>
      </w:r>
    </w:p>
    <w:p>
      <w:pPr>
        <w:ind w:hanging="567" w:left="567"/>
      </w:pPr>
      <w:r>
        <w:rPr>
          <w:sz w:val="22"/>
        </w:rPr>
        <w:t>Diamond J (1997) Guns, germs, and steel: the fates of human societies. W.W. Norton, New York</w:t>
      </w:r>
    </w:p>
    <w:p>
      <w:pPr>
        <w:ind w:hanging="567" w:left="567"/>
      </w:pPr>
      <w:r>
        <w:rPr>
          <w:sz w:val="22"/>
        </w:rPr>
        <w:t>Diamond J, Bellwood P (2003) Farmers and their languages: the first expansions. Science 300:597–603. https://doi.org/10.1126/science.1078208</w:t>
      </w:r>
    </w:p>
    <w:p>
      <w:pPr>
        <w:ind w:hanging="567" w:left="567"/>
      </w:pPr>
      <w:r>
        <w:rPr>
          <w:sz w:val="22"/>
        </w:rPr>
        <w:t>Findlay R, O'Rourke KH (2007) Power and plenty: trade, war, and the world economy in the second millennium. Princeton University Press, Princeton</w:t>
      </w:r>
    </w:p>
    <w:p>
      <w:pPr>
        <w:ind w:hanging="567" w:left="567"/>
      </w:pPr>
      <w:r>
        <w:rPr>
          <w:sz w:val="22"/>
        </w:rPr>
        <w:t>Kennedy P (1987) The rise and fall of the great powers: economic change and military conflict from 1500 to 2000. Random House, New York</w:t>
      </w:r>
    </w:p>
    <w:p>
      <w:pPr>
        <w:ind w:hanging="567" w:left="567"/>
      </w:pPr>
      <w:r>
        <w:rPr>
          <w:sz w:val="22"/>
        </w:rPr>
        <w:t>Maddison A (2007) Contours of the world economy 1–2030 AD: essays in macro-economic history. Oxford University Press, Oxford</w:t>
      </w:r>
    </w:p>
    <w:p>
      <w:pPr>
        <w:ind w:hanging="567" w:left="567"/>
      </w:pPr>
      <w:r>
        <w:rPr>
          <w:sz w:val="22"/>
        </w:rPr>
        <w:t>Mokyr J (2002) The gifts of Athena: historical origins of the knowledge economy. Princeton University Press, Princeton</w:t>
      </w:r>
    </w:p>
    <w:p>
      <w:pPr>
        <w:ind w:hanging="567" w:left="567"/>
      </w:pPr>
      <w:r>
        <w:rPr>
          <w:sz w:val="22"/>
        </w:rPr>
        <w:t>North DC, Wallis JJ, Weingast BR (2009) Violence and social orders: a conceptual framework for interpreting recorded human history. Cambridge University Press, Cambridge</w:t>
      </w:r>
    </w:p>
    <w:p>
      <w:pPr>
        <w:ind w:hanging="567" w:left="567"/>
      </w:pPr>
      <w:r>
        <w:rPr>
          <w:sz w:val="22"/>
        </w:rPr>
        <w:t>Pomeranz K (2000) The great divergence: China, Europe, and the making of the modern world economy. Princeton University Press, Princeton</w:t>
      </w:r>
    </w:p>
    <w:p>
      <w:pPr>
        <w:ind w:hanging="567" w:left="567"/>
      </w:pPr>
      <w:r>
        <w:rPr>
          <w:sz w:val="22"/>
        </w:rPr>
        <w:t>Turchin P (2009) A theory for formation of large empires. J Glob Hist 4:191–217. https://doi.org/10.1017/S1740022809003192</w:t>
      </w:r>
    </w:p>
    <w:p>
      <w:pPr>
        <w:pStyle w:val="Heading1"/>
      </w:pPr>
      <w:r>
        <w:t>Statements and Declarations</w:t>
      </w:r>
    </w:p>
    <w:p>
      <w:pPr>
        <w:pStyle w:val="Heading2"/>
      </w:pPr>
      <w:r>
        <w:t>Funding</w:t>
      </w:r>
    </w:p>
    <w:p>
      <w:r>
        <w:t>[To be completed by author]</w:t>
      </w:r>
    </w:p>
    <w:p>
      <w:pPr>
        <w:pStyle w:val="Heading2"/>
      </w:pPr>
      <w:r>
        <w:t>Competing Interests</w:t>
      </w:r>
    </w:p>
    <w:p>
      <w:r>
        <w:t>The author declares no competing interests.</w:t>
      </w:r>
    </w:p>
    <w:p>
      <w:pPr>
        <w:pStyle w:val="Heading2"/>
      </w:pPr>
      <w:r>
        <w:t>Data Availability</w:t>
      </w:r>
    </w:p>
    <w:p>
      <w:r>
        <w:t>The complete dataset and analysis code are available at [repository URL]. Supplementary Table S1 provides the full dataset of 96 polities with all coded variables.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