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3000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pPr>
        <w:spacing w:after="120"/>
      </w:pPr>
      <w:r>
        <w:rPr>
          <w:rFonts w:ascii="Times New Roman" w:hAnsi="Times New Roman"/>
          <w:b/>
          <w:sz w:val="24"/>
        </w:rPr>
        <w:t xml:space="preserve">Background  </w:t>
      </w:r>
      <w:r>
        <w:rPr>
          <w:rFonts w:ascii="Times New Roman" w:hAnsi="Times New Roman"/>
          <w:sz w:val="24"/>
        </w:rPr>
        <w:t>Regional variation in anaesthesia practice has been documented in many high-income countries, but the relative contributions of clinical preference, institutional capacity and administrative coding practices remain unclear. Japan provides a distinctive natural experiment: a single national fee schedule combined with prefecture-specific insurance auditing. We aimed to quantify regional variation in anaesthesia practice across Japan's 335 secondary medical areas and to test whether observed variation reflects structural determinants or differential auditing.</w:t>
      </w:r>
    </w:p>
    <w:p>
      <w:pPr>
        <w:spacing w:after="120"/>
      </w:pPr>
      <w:r>
        <w:rPr>
          <w:rFonts w:ascii="Times New Roman" w:hAnsi="Times New Roman"/>
          <w:b/>
          <w:sz w:val="24"/>
        </w:rPr>
        <w:t xml:space="preserve">Methods  </w:t>
      </w:r>
      <w:r>
        <w:rPr>
          <w:rFonts w:ascii="Times New Roman" w:hAnsi="Times New Roman"/>
          <w:sz w:val="24"/>
        </w:rPr>
        <w:t>Cross-sectional ecological study using publicly available standardised claim ratios (age- and sex-adjusted observed-to-expected ratios on a residence basis, national average = 100) for fiscal year 2022. Six anaesthesia procedure codes were analysed across 335 secondary medical areas nested within 47 prefectures. We fitted multilevel linear mixed models with prefectures as random intercepts to estimate intraclass correlation coefficients and the contribution of university hospital presence. Three pre-specified sensitivity analyses tested the audit hypothesis: within-prefecture variance decomposition; cross-code correlation; and quantitative estimation of the maximum impact of audit-rate differences. Empirical Bayes shrinkage addressed potential instability in low-volume areas.</w:t>
      </w:r>
    </w:p>
    <w:p>
      <w:pPr>
        <w:spacing w:after="120"/>
      </w:pPr>
      <w:r>
        <w:rPr>
          <w:rFonts w:ascii="Times New Roman" w:hAnsi="Times New Roman"/>
          <w:b/>
          <w:sz w:val="24"/>
        </w:rPr>
        <w:t xml:space="preserve">Results  </w:t>
      </w:r>
      <w:r>
        <w:rPr>
          <w:rFonts w:ascii="Times New Roman" w:hAnsi="Times New Roman"/>
          <w:sz w:val="24"/>
        </w:rPr>
        <w:t>Substantial variation was observed across all anaesthesia codes. The coefficient of variation was 53.6% for general anaesthesia, 87.0% for epidural anaesthesia (L002), 64.9% for continuous epidural infusion (L003) and 56.8% for spinal anaesthesia. Multilevel models showed that only 5.8% of general anaesthesia variance was attributable to the prefecture level (intraclass correlation coefficient 0.058); 94.2% occurred within prefectures, where audit policy is uniform. University hospital presence explained 35.8% of total general anaesthesia variance and 40.5% of within-prefecture variance (Cohen's d 1.88). University hospital areas had higher general anaesthesia ratios in 47 of 47 prefectures. The three audit sensitivity analyses converged: the maximum audit-rate difference (0.21 percentage points) could shift ratios by less than 0.3% of the observed interquartile range. Empirical Bayes shrinkage of the area-level ratios toward their prefecture mean substantially attenuated effect sizes (general anaesthesia by 66.5%, from Cohen's d = 1.88 to 0.63); the university hospital effect on general anaesthesia remained moderate and statistically significant even after this heavy shrinkage.</w:t>
      </w:r>
    </w:p>
    <w:p>
      <w:pPr>
        <w:spacing w:after="120"/>
      </w:pPr>
      <w:r>
        <w:rPr>
          <w:rFonts w:ascii="Times New Roman" w:hAnsi="Times New Roman"/>
          <w:b/>
          <w:sz w:val="24"/>
        </w:rPr>
        <w:t xml:space="preserve">Conclusion  </w:t>
      </w:r>
      <w:r>
        <w:rPr>
          <w:rFonts w:ascii="Times New Roman" w:hAnsi="Times New Roman"/>
          <w:sz w:val="24"/>
        </w:rPr>
        <w:t>Regional variation in anaesthesia practice across Japan is substantial and predominantly structural rather than an artefact of insurance auditing. University hospital proximity is the dominant determinant. The marked variation in epidural anaesthesia (L002) and continuous epidural infusion (L003), the publicly reported proxies for regional anaesthesia use, indicates a modifiable inequity in access to a potentially beneficial technique under a system designed for universal coverage.</w:t>
      </w:r>
    </w:p>
    <w:p>
      <w:pPr>
        <w:spacing w:after="0"/>
      </w:pPr>
    </w:p>
    <w:p>
      <w:r>
        <w:rPr>
          <w:rFonts w:ascii="Times New Roman" w:hAnsi="Times New Roman"/>
          <w:b/>
          <w:sz w:val="24"/>
        </w:rPr>
        <w:t xml:space="preserve">Keywords: </w:t>
      </w:r>
      <w:r>
        <w:rPr>
          <w:rFonts w:ascii="Times New Roman" w:hAnsi="Times New Roman"/>
          <w:sz w:val="24"/>
        </w:rPr>
        <w:t>anaesthesia; small-area variation; multilevel analysis; health services research; quality of health care;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 only 6.1% of inpatients receive care outside their home prefecture.</w:t>
      </w:r>
      <w:r>
        <w:rPr>
          <w:rFonts w:ascii="Times New Roman" w:hAnsi="Times New Roman"/>
          <w:sz w:val="24"/>
          <w:vertAlign w:val="superscript"/>
        </w:rPr>
        <w:t>4</w:t>
      </w:r>
      <w:r>
        <w:rPr>
          <w:rFonts w:ascii="Times New Roman" w:hAnsi="Times New Roman"/>
          <w:sz w:val="24"/>
        </w:rPr>
        <w:t xml:space="preserve">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 from 0.07% to 0.28%.</w:t>
      </w:r>
      <w:r>
        <w:rPr>
          <w:rFonts w:ascii="Times New Roman" w:hAnsi="Times New Roman"/>
          <w:sz w:val="24"/>
          <w:vertAlign w:val="superscript"/>
        </w:rPr>
        <w:t>6</w:t>
      </w:r>
      <w:r>
        <w:rPr>
          <w:rFonts w:ascii="Times New Roman" w:hAnsi="Times New Roman"/>
          <w:sz w:val="24"/>
        </w:rPr>
        <w:t xml:space="preserve"> This raises a fundamental question for the quality and safety community: does the variation observed in claims data reflect genuine differences in clinical practice, or is it an artefact of differential auditing? Distinguishing between these two explanations has different implications for quality improvement, payment policy and patient equity.</w:t>
      </w:r>
    </w:p>
    <w:p>
      <w:r>
        <w:rPr>
          <w:rFonts w:ascii="Times New Roman" w:hAnsi="Times New Roman"/>
          <w:sz w:val="24"/>
        </w:rPr>
        <w:t>Anaesthesia practice is well suited to this question.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the general anaesthesia code to clarify longstanding ambiguity in airway definitions,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30</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11</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12</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Data were available at both prefectural and secondary medical area levels. Second, we obtained physician statistics from the 2022 Survey of Physicians, Dentists and Pharmacists.</w:t>
      </w:r>
      <w:r>
        <w:rPr>
          <w:rFonts w:ascii="Times New Roman" w:hAnsi="Times New Roman"/>
          <w:sz w:val="24"/>
          <w:vertAlign w:val="superscript"/>
        </w:rPr>
        <w:t>13</w:t>
      </w:r>
      <w:r>
        <w:rPr>
          <w:rFonts w:ascii="Times New Roman" w:hAnsi="Times New Roman"/>
          <w:sz w:val="24"/>
        </w:rPr>
        <w:t xml:space="preserve"> Third, geographic boundary data were obtained from the National Land Numerical Information dataset.</w:t>
      </w:r>
      <w:r>
        <w:rPr>
          <w:rFonts w:ascii="Times New Roman" w:hAnsi="Times New Roman"/>
          <w:sz w:val="24"/>
          <w:vertAlign w:val="superscript"/>
        </w:rPr>
        <w:t>14</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81 university hospitals (44 national, 8 public and 29 private) to their respective secondary medical areas based on municipal address. The 81 university hospitals are distributed across 64 of the 335 secondary medical areas (19.1%) and across all 47 prefectures, which enables within-prefecture comparisons between university and non-university areas under a common audit policy.</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15</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16</w:t>
      </w:r>
      <w:r>
        <w:rPr>
          <w:rFonts w:ascii="Times New Roman" w:hAnsi="Times New Roman"/>
          <w:sz w:val="24"/>
        </w:rPr>
        <w:t xml:space="preserve"> A null random-intercept model was fitted first to estimate the intraclass correlation coefficient. Subsequent models added fixed effects for university hospital presence, anaesthesiologist density (standardised) and total physician density (standardised). Models were estimated by restricted maximum likelihood using the Python statsmodels MixedLM implementation.</w:t>
      </w:r>
      <w:r>
        <w:rPr>
          <w:rFonts w:ascii="Times New Roman" w:hAnsi="Times New Roman"/>
          <w:sz w:val="24"/>
          <w:vertAlign w:val="superscript"/>
        </w:rPr>
        <w:t>17</w:t>
      </w:r>
      <w:r>
        <w:rPr>
          <w:rFonts w:ascii="Times New Roman" w:hAnsi="Times New Roman"/>
          <w:sz w:val="24"/>
        </w:rPr>
        <w:t xml:space="preserve">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18</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audit rates. Combined ratios (general plus spinal; general plus epidural)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53.6%), a 189-fold difference. Epidural anaesthesia showed the greatest relative variation (coefficient of variation 87.0%); continuous epidural infusion 64.9% and spinal anaesthesia 56.8%. The geographic distribution of ratios is shown in Figure 1.</w:t>
      </w: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 0.001) (Table 3). University hospital areas had higher general anaesthesia ratios than non-university areas in 47 of 47 prefectures, with a mean within-prefecture difference of +63.3 points (paired t = 13.28, P &lt; 0.001) (Figure 2). Cohen's d for the university hospital effect on general anaesthesia was 1.88; on continuous epidural infusion 1.30; on epidural anaesthesia 0.59; and on spinal anaesthesia 0.40.</w:t>
      </w: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 0.001), as were general and epidural anaesthesia (r = +0.319, P &lt; 0.001), inconsistent with audit-driven reclassification and consistent with a common supply factor. Third, the maximum prefectural audit-rate difference of 0.21 percentage points could produce a ratio shift of approximately 0.2 points, which is less than 0.3% of the observed interquartile range for general anaesthesia and less than 0.1% for epidural anaesthesia. Combining general and spinal ratios reduced the coefficient of variation only modestly from 53.6% to 43.4% (a 19% reduction), and the university hospital effect remained large on the combined measure (Cohen's d 1.26).</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the explicit sampling model y_i ~ N(θ_i, σ²); θ_i ~ N(μ_pref, τ²_pref), with σ² taken as the residual within-prefecture variance from a null random-intercept mixed-effects model fitted separately for each code. This formulation is conservative because no information is borrowed from the observed prefecture-mean differences when shrinking individual areas.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in Chiba (ratio 216.7) and central Tokyo (ratio 435.7, containing five university hospitals).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 for general anaesthesia to 87% for epidural anaesthesia. Multilevel modelling showed that only 5.8% of general anaesthesia variance is attributable to prefectures, while 94.2% occurs within prefectures where audit policy is uniform. University hospital presence explained 35.8% of total variance and 40.5%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19</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Multilevel models included only university hospital presence as a structural fixed effect; future work should add additional area-level covariates such as urbanisation, bed density and case-mix indicators.</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21</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22</w:t>
      </w:r>
      <w:r>
        <w:rPr>
          <w:rFonts w:ascii="Times New Roman" w:hAnsi="Times New Roman"/>
          <w:sz w:val="24"/>
        </w:rPr>
        <w:t xml:space="preserve"> and in Germany</w:t>
      </w:r>
      <w:r>
        <w:rPr>
          <w:rFonts w:ascii="Times New Roman" w:hAnsi="Times New Roman"/>
          <w:sz w:val="24"/>
          <w:vertAlign w:val="superscript"/>
        </w:rPr>
        <w:t>23</w:t>
      </w:r>
      <w:r>
        <w:rPr>
          <w:rFonts w:ascii="Times New Roman" w:hAnsi="Times New Roman"/>
          <w:sz w:val="24"/>
        </w:rPr>
        <w:t xml:space="preserve"> and Australia.</w:t>
      </w:r>
      <w:r>
        <w:rPr>
          <w:rFonts w:ascii="Times New Roman" w:hAnsi="Times New Roman"/>
          <w:sz w:val="24"/>
          <w:vertAlign w:val="superscript"/>
        </w:rPr>
        <w:t>24</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the first multilevel small-area analysis of anaesthesia technique under universal coverage in East Asia. The university hospital effect we report (Cohen's d = 1.88) is unusually large compared with effect sizes typically reported in this literature, plausibly reflecting the influence of the ikyoku (university medical office) system on clinical practice in affiliated hospitals.</w:t>
      </w:r>
      <w:r>
        <w:rPr>
          <w:rFonts w:ascii="Times New Roman" w:hAnsi="Times New Roman"/>
          <w:sz w:val="24"/>
          <w:vertAlign w:val="superscript"/>
        </w:rPr>
        <w:t>25</w:t>
      </w:r>
      <w:r>
        <w:rPr>
          <w:rFonts w:ascii="Times New Roman" w:hAnsi="Times New Roman"/>
          <w:sz w:val="24"/>
        </w:rPr>
        <w:t xml:space="preserve"> The intraclass correlation coefficient of 0.058 for general anaesthesia is also noticeably lower than coefficients reported for surgical procedure rates in the United States,</w:t>
      </w:r>
      <w:r>
        <w:rPr>
          <w:rFonts w:ascii="Times New Roman" w:hAnsi="Times New Roman"/>
          <w:sz w:val="24"/>
          <w:vertAlign w:val="superscript"/>
        </w:rPr>
        <w:t>21</w:t>
      </w:r>
      <w:r>
        <w:rPr>
          <w:rFonts w:ascii="Times New Roman" w:hAnsi="Times New Roman"/>
          <w:sz w:val="24"/>
        </w:rPr>
        <w:t xml:space="preserve"> indicating that within-prefecture institutional factors dominate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20</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22,23</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21,22</w:t>
      </w:r>
      <w:r>
        <w:rPr>
          <w:rFonts w:ascii="Times New Roman" w:hAnsi="Times New Roman"/>
          <w:sz w:val="24"/>
        </w:rPr>
        <w:t xml:space="preserve"> and for other tertiary-intensive specialties across OECD countries;</w:t>
      </w:r>
      <w:r>
        <w:rPr>
          <w:rFonts w:ascii="Times New Roman" w:hAnsi="Times New Roman"/>
          <w:sz w:val="24"/>
          <w:vertAlign w:val="superscript"/>
        </w:rPr>
        <w:t>26</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87.0%) and continuous epidural infusion (L003, 64.9%)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27,29</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research</w:t>
      </w:r>
    </w:p>
    <w:p>
      <w:r>
        <w:rPr>
          <w:rFonts w:ascii="Times New Roman" w:hAnsi="Times New Roman"/>
          <w:sz w:val="24"/>
        </w:rPr>
        <w:t>The marked variation in continuous epidural infusion (L003; coefficient of variation 64.9%) and in epidural anaesthesia (L002; 87.0%)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1.73-fold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27,29</w:t>
      </w:r>
      <w:r>
        <w:rPr>
          <w:rFonts w:ascii="Times New Roman" w:hAnsi="Times New Roman"/>
          <w:sz w:val="24"/>
        </w:rPr>
        <w:t xml:space="preserve"> aligned with international standards for safe practice of anaesthesia.</w:t>
      </w:r>
      <w:r>
        <w:rPr>
          <w:rFonts w:ascii="Times New Roman" w:hAnsi="Times New Roman"/>
          <w:sz w:val="24"/>
          <w:vertAlign w:val="superscript"/>
        </w:rPr>
        <w:t>28</w:t>
      </w:r>
      <w:r>
        <w:rPr>
          <w:rFonts w:ascii="Times New Roman" w:hAnsi="Times New Roman"/>
          <w:sz w:val="24"/>
        </w:rPr>
        <w:t xml:space="preserve"> The within-prefecture variance decomposition and multilevel sensitivity framework developed here are generalisable to other procedures under universal insurance and provide a transferable tool for distinguishing administrative from structural sources of small-area variation.</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and equity policy should address the supply and organisational determinants of anaesthesia practice rather than treat the variation as an unavoidable feature of claims processing.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Cabinet Office. Indicators of regional variation in healthcare and long-term care: insurance auditing rates by prefecture. Tokyo: Cabinet Office, 2023.</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notice on anaesthesia code revisions. Tokyo: MHLW, 2025.</w:t>
      </w:r>
    </w:p>
    <w:p>
      <w:pPr>
        <w:spacing w:after="0" w:line="480" w:lineRule="auto"/>
      </w:pPr>
      <w:r>
        <w:rPr>
          <w:rFonts w:ascii="Times New Roman" w:hAnsi="Times New Roman"/>
          <w:sz w:val="24"/>
        </w:rPr>
        <w:t xml:space="preserve">11.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12. </w:t>
      </w:r>
      <w:r>
        <w:rPr>
          <w:rFonts w:ascii="Times New Roman" w:hAnsi="Times New Roman"/>
          <w:sz w:val="24"/>
        </w:rPr>
        <w:t>Cabinet Office. Regional variation visualisation (chiikisa no mieruka). https://www5.cao.go.jp/keizai-shimon/kaigi/special/reform/mieruka/ (accessed 10 Mar 2026).</w:t>
      </w:r>
    </w:p>
    <w:p>
      <w:pPr>
        <w:spacing w:after="0" w:line="480" w:lineRule="auto"/>
      </w:pPr>
      <w:r>
        <w:rPr>
          <w:rFonts w:ascii="Times New Roman" w:hAnsi="Times New Roman"/>
          <w:sz w:val="24"/>
        </w:rPr>
        <w:t xml:space="preserve">13.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14.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15.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16.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17.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18.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19.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20.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21.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22.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23. </w:t>
      </w:r>
      <w:r>
        <w:rPr>
          <w:rFonts w:ascii="Times New Roman" w:hAnsi="Times New Roman"/>
          <w:sz w:val="24"/>
        </w:rPr>
        <w:t>Wengler A, Nimptsch U, Mansky T. Hip and knee replacement surgery (arthroplasty) and geographic variations in Germany. Dtsch Arztebl Int 2014;111:407-16.</w:t>
      </w:r>
    </w:p>
    <w:p>
      <w:pPr>
        <w:spacing w:after="0" w:line="480" w:lineRule="auto"/>
      </w:pPr>
      <w:r>
        <w:rPr>
          <w:rFonts w:ascii="Times New Roman" w:hAnsi="Times New Roman"/>
          <w:sz w:val="24"/>
        </w:rPr>
        <w:t xml:space="preserve">24.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25.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26.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27.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28.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29. </w:t>
      </w:r>
      <w:r>
        <w:rPr>
          <w:rFonts w:ascii="Times New Roman" w:hAnsi="Times New Roman"/>
          <w:sz w:val="24"/>
        </w:rPr>
        <w:t>Mainz J. Defining and classifying clinical indicators for quality improvement. Int J Qual Health Care 2003;15:523-30.</w:t>
      </w:r>
    </w:p>
    <w:p>
      <w:pPr>
        <w:spacing w:after="0" w:line="480" w:lineRule="auto"/>
      </w:pPr>
      <w:r>
        <w:rPr>
          <w:rFonts w:ascii="Times New Roman" w:hAnsi="Times New Roman"/>
          <w:sz w:val="24"/>
        </w:rPr>
        <w:t xml:space="preserve">30.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r>
        <w:br w:type="page"/>
      </w:r>
    </w:p>
    <w:p>
      <w:pPr>
        <w:spacing w:before="0" w:after="120"/>
      </w:pPr>
      <w:r>
        <w:rPr>
          <w:rFonts w:ascii="Times New Roman" w:hAnsi="Times New Roman"/>
          <w:b/>
          <w:sz w:val="26"/>
        </w:rPr>
        <w:t>TABLES</w:t>
      </w:r>
    </w:p>
    <w:p>
      <w:r>
        <w:rPr>
          <w:rFonts w:ascii="Times New Roman" w:hAnsi="Times New Roman"/>
          <w:b/>
          <w:sz w:val="24"/>
        </w:rPr>
        <w:t>Table 1. Anaesthesia procedure codes analysed.</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Pr>
                <w:rFonts w:ascii="Times New Roman" w:hAnsi="Times New Roman"/>
                <w:b/>
                <w:sz w:val="22"/>
              </w:rPr>
              <w:t>Code</w:t>
            </w:r>
          </w:p>
        </w:tc>
        <w:tc>
          <w:tcPr>
            <w:tcW w:type="dxa" w:w="3009"/>
          </w:tcPr>
          <w:p>
            <w:r>
              <w:rPr>
                <w:rFonts w:ascii="Times New Roman" w:hAnsi="Times New Roman"/>
                <w:b/>
                <w:sz w:val="22"/>
              </w:rPr>
              <w:t>Procedure</w:t>
            </w:r>
          </w:p>
        </w:tc>
        <w:tc>
          <w:tcPr>
            <w:tcW w:type="dxa" w:w="3009"/>
          </w:tcPr>
          <w:p>
            <w:r>
              <w:rPr>
                <w:rFonts w:ascii="Times New Roman" w:hAnsi="Times New Roman"/>
                <w:b/>
                <w:sz w:val="22"/>
              </w:rPr>
              <w:t>Notes</w:t>
            </w:r>
          </w:p>
        </w:tc>
      </w:tr>
      <w:tr>
        <w:tc>
          <w:tcPr>
            <w:tcW w:type="dxa" w:w="3009"/>
          </w:tcPr>
          <w:p>
            <w:r>
              <w:rPr>
                <w:rFonts w:ascii="Times New Roman" w:hAnsi="Times New Roman"/>
                <w:sz w:val="22"/>
              </w:rPr>
              <w:t>L008</w:t>
            </w:r>
          </w:p>
        </w:tc>
        <w:tc>
          <w:tcPr>
            <w:tcW w:type="dxa" w:w="3009"/>
          </w:tcPr>
          <w:p>
            <w:r>
              <w:rPr>
                <w:rFonts w:ascii="Times New Roman" w:hAnsi="Times New Roman"/>
                <w:sz w:val="22"/>
              </w:rPr>
              <w:t>Closed-circuit general anaesthesia</w:t>
            </w:r>
          </w:p>
        </w:tc>
        <w:tc>
          <w:tcPr>
            <w:tcW w:type="dxa" w:w="3009"/>
          </w:tcPr>
          <w:p>
            <w:r>
              <w:rPr>
                <w:rFonts w:ascii="Times New Roman" w:hAnsi="Times New Roman"/>
                <w:sz w:val="22"/>
              </w:rPr>
              <w:t>Primary indicator of overall general anaesthesia volume</w:t>
            </w:r>
          </w:p>
        </w:tc>
      </w:tr>
      <w:tr>
        <w:tc>
          <w:tcPr>
            <w:tcW w:type="dxa" w:w="3009"/>
          </w:tcPr>
          <w:p>
            <w:r>
              <w:rPr>
                <w:rFonts w:ascii="Times New Roman" w:hAnsi="Times New Roman"/>
                <w:sz w:val="22"/>
              </w:rPr>
              <w:t>L002</w:t>
            </w:r>
          </w:p>
        </w:tc>
        <w:tc>
          <w:tcPr>
            <w:tcW w:type="dxa" w:w="3009"/>
          </w:tcPr>
          <w:p>
            <w:r>
              <w:rPr>
                <w:rFonts w:ascii="Times New Roman" w:hAnsi="Times New Roman"/>
                <w:sz w:val="22"/>
              </w:rPr>
              <w:t>Epidural anaesthesia</w:t>
            </w:r>
          </w:p>
        </w:tc>
        <w:tc>
          <w:tcPr>
            <w:tcW w:type="dxa" w:w="3009"/>
          </w:tcPr>
          <w:p>
            <w:r>
              <w:rPr>
                <w:rFonts w:ascii="Times New Roman" w:hAnsi="Times New Roman"/>
                <w:sz w:val="22"/>
              </w:rPr>
              <w:t>Regional technique claimed as main anaesthetic</w:t>
            </w:r>
          </w:p>
        </w:tc>
      </w:tr>
      <w:tr>
        <w:tc>
          <w:tcPr>
            <w:tcW w:type="dxa" w:w="3009"/>
          </w:tcPr>
          <w:p>
            <w:r>
              <w:rPr>
                <w:rFonts w:ascii="Times New Roman" w:hAnsi="Times New Roman"/>
                <w:sz w:val="22"/>
              </w:rPr>
              <w:t>L003</w:t>
            </w:r>
          </w:p>
        </w:tc>
        <w:tc>
          <w:tcPr>
            <w:tcW w:type="dxa" w:w="3009"/>
          </w:tcPr>
          <w:p>
            <w:r>
              <w:rPr>
                <w:rFonts w:ascii="Times New Roman" w:hAnsi="Times New Roman"/>
                <w:sz w:val="22"/>
              </w:rPr>
              <w:t>Continuous epidural infusion</w:t>
            </w:r>
          </w:p>
        </w:tc>
        <w:tc>
          <w:tcPr>
            <w:tcW w:type="dxa" w:w="3009"/>
          </w:tcPr>
          <w:p>
            <w:r>
              <w:rPr>
                <w:rFonts w:ascii="Times New Roman" w:hAnsi="Times New Roman"/>
                <w:sz w:val="22"/>
              </w:rPr>
              <w:t>Regional technique largely billed as adjunct to general anaesthesia</w:t>
            </w:r>
          </w:p>
        </w:tc>
      </w:tr>
      <w:tr>
        <w:tc>
          <w:tcPr>
            <w:tcW w:type="dxa" w:w="3009"/>
          </w:tcPr>
          <w:p>
            <w:r>
              <w:rPr>
                <w:rFonts w:ascii="Times New Roman" w:hAnsi="Times New Roman"/>
                <w:sz w:val="22"/>
              </w:rPr>
              <w:t>L004</w:t>
            </w:r>
          </w:p>
        </w:tc>
        <w:tc>
          <w:tcPr>
            <w:tcW w:type="dxa" w:w="3009"/>
          </w:tcPr>
          <w:p>
            <w:r>
              <w:rPr>
                <w:rFonts w:ascii="Times New Roman" w:hAnsi="Times New Roman"/>
                <w:sz w:val="22"/>
              </w:rPr>
              <w:t>Spinal anaesthesia</w:t>
            </w:r>
          </w:p>
        </w:tc>
        <w:tc>
          <w:tcPr>
            <w:tcW w:type="dxa" w:w="3009"/>
          </w:tcPr>
          <w:p>
            <w:r>
              <w:rPr>
                <w:rFonts w:ascii="Times New Roman" w:hAnsi="Times New Roman"/>
                <w:sz w:val="22"/>
              </w:rPr>
              <w:t>Alternative regional technique</w:t>
            </w:r>
          </w:p>
        </w:tc>
      </w:tr>
      <w:tr>
        <w:tc>
          <w:tcPr>
            <w:tcW w:type="dxa" w:w="3009"/>
          </w:tcPr>
          <w:p>
            <w:r>
              <w:rPr>
                <w:rFonts w:ascii="Times New Roman" w:hAnsi="Times New Roman"/>
                <w:sz w:val="22"/>
              </w:rPr>
              <w:t>L009</w:t>
            </w:r>
          </w:p>
        </w:tc>
        <w:tc>
          <w:tcPr>
            <w:tcW w:type="dxa" w:w="3009"/>
          </w:tcPr>
          <w:p>
            <w:r>
              <w:rPr>
                <w:rFonts w:ascii="Times New Roman" w:hAnsi="Times New Roman"/>
                <w:sz w:val="22"/>
              </w:rPr>
              <w:t>Anaesthesia management fee I</w:t>
            </w:r>
          </w:p>
        </w:tc>
        <w:tc>
          <w:tcPr>
            <w:tcW w:type="dxa" w:w="3009"/>
          </w:tcPr>
          <w:p>
            <w:r>
              <w:rPr>
                <w:rFonts w:ascii="Times New Roman" w:hAnsi="Times New Roman"/>
                <w:sz w:val="22"/>
              </w:rPr>
              <w:t>Proxy for specialist anaesthesiologist staffing</w:t>
            </w:r>
          </w:p>
        </w:tc>
      </w:tr>
      <w:tr>
        <w:tc>
          <w:tcPr>
            <w:tcW w:type="dxa" w:w="3009"/>
          </w:tcPr>
          <w:p>
            <w:r>
              <w:rPr>
                <w:rFonts w:ascii="Times New Roman" w:hAnsi="Times New Roman"/>
                <w:sz w:val="22"/>
              </w:rPr>
              <w:t>L100</w:t>
            </w:r>
          </w:p>
        </w:tc>
        <w:tc>
          <w:tcPr>
            <w:tcW w:type="dxa" w:w="3009"/>
          </w:tcPr>
          <w:p>
            <w:r>
              <w:rPr>
                <w:rFonts w:ascii="Times New Roman" w:hAnsi="Times New Roman"/>
                <w:sz w:val="22"/>
              </w:rPr>
              <w:t>Nerve block, inpatient</w:t>
            </w:r>
          </w:p>
        </w:tc>
        <w:tc>
          <w:tcPr>
            <w:tcW w:type="dxa" w:w="3009"/>
          </w:tcPr>
          <w:p>
            <w:r>
              <w:rPr>
                <w:rFonts w:ascii="Times New Roman" w:hAnsi="Times New Roman"/>
                <w:sz w:val="22"/>
              </w:rPr>
              <w:t>Indicator of pain-clinic activity</w:t>
            </w:r>
          </w:p>
        </w:tc>
      </w:tr>
    </w:tbl>
    <w:p>
      <w:pPr>
        <w:spacing w:after="0"/>
      </w:pPr>
    </w:p>
    <w:p>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r>
        <w:br w:type="page"/>
      </w:r>
    </w:p>
    <w:p>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rFonts w:ascii="Times New Roman" w:hAnsi="Times New Roman"/>
                <w:b/>
                <w:sz w:val="20"/>
              </w:rPr>
              <w:t>Code</w:t>
            </w:r>
          </w:p>
        </w:tc>
        <w:tc>
          <w:tcPr>
            <w:tcW w:type="dxa" w:w="1128"/>
          </w:tcPr>
          <w:p>
            <w:r>
              <w:rPr>
                <w:rFonts w:ascii="Times New Roman" w:hAnsi="Times New Roman"/>
                <w:b/>
                <w:sz w:val="20"/>
              </w:rPr>
              <w:t>n</w:t>
            </w:r>
          </w:p>
        </w:tc>
        <w:tc>
          <w:tcPr>
            <w:tcW w:type="dxa" w:w="1128"/>
          </w:tcPr>
          <w:p>
            <w:r>
              <w:rPr>
                <w:rFonts w:ascii="Times New Roman" w:hAnsi="Times New Roman"/>
                <w:b/>
                <w:sz w:val="20"/>
              </w:rPr>
              <w:t>Mean (SD)</w:t>
            </w:r>
          </w:p>
        </w:tc>
        <w:tc>
          <w:tcPr>
            <w:tcW w:type="dxa" w:w="1128"/>
          </w:tcPr>
          <w:p>
            <w:r>
              <w:rPr>
                <w:rFonts w:ascii="Times New Roman" w:hAnsi="Times New Roman"/>
                <w:b/>
                <w:sz w:val="20"/>
              </w:rPr>
              <w:t>Median (IQR)</w:t>
            </w:r>
          </w:p>
        </w:tc>
        <w:tc>
          <w:tcPr>
            <w:tcW w:type="dxa" w:w="1128"/>
          </w:tcPr>
          <w:p>
            <w:r>
              <w:rPr>
                <w:rFonts w:ascii="Times New Roman" w:hAnsi="Times New Roman"/>
                <w:b/>
                <w:sz w:val="20"/>
              </w:rPr>
              <w:t>Min</w:t>
            </w:r>
          </w:p>
        </w:tc>
        <w:tc>
          <w:tcPr>
            <w:tcW w:type="dxa" w:w="1128"/>
          </w:tcPr>
          <w:p>
            <w:r>
              <w:rPr>
                <w:rFonts w:ascii="Times New Roman" w:hAnsi="Times New Roman"/>
                <w:b/>
                <w:sz w:val="20"/>
              </w:rPr>
              <w:t>Max</w:t>
            </w:r>
          </w:p>
        </w:tc>
        <w:tc>
          <w:tcPr>
            <w:tcW w:type="dxa" w:w="1128"/>
          </w:tcPr>
          <w:p>
            <w:r>
              <w:rPr>
                <w:rFonts w:ascii="Times New Roman" w:hAnsi="Times New Roman"/>
                <w:b/>
                <w:sz w:val="20"/>
              </w:rPr>
              <w:t>CV (%)</w:t>
            </w:r>
          </w:p>
        </w:tc>
        <w:tc>
          <w:tcPr>
            <w:tcW w:type="dxa" w:w="1128"/>
          </w:tcPr>
          <w:p>
            <w:r>
              <w:rPr>
                <w:rFonts w:ascii="Times New Roman" w:hAnsi="Times New Roman"/>
                <w:b/>
                <w:sz w:val="20"/>
              </w:rPr>
              <w:t>Range ratio</w:t>
            </w:r>
          </w:p>
        </w:tc>
      </w:tr>
      <w:tr>
        <w:tc>
          <w:tcPr>
            <w:tcW w:type="dxa" w:w="1128"/>
          </w:tcPr>
          <w:p>
            <w:r>
              <w:rPr>
                <w:rFonts w:ascii="Times New Roman" w:hAnsi="Times New Roman"/>
                <w:sz w:val="20"/>
              </w:rPr>
              <w:t>L008</w:t>
            </w:r>
          </w:p>
        </w:tc>
        <w:tc>
          <w:tcPr>
            <w:tcW w:type="dxa" w:w="1128"/>
          </w:tcPr>
          <w:p>
            <w:r>
              <w:rPr>
                <w:rFonts w:ascii="Times New Roman" w:hAnsi="Times New Roman"/>
                <w:sz w:val="20"/>
              </w:rPr>
              <w:t>334</w:t>
            </w:r>
          </w:p>
        </w:tc>
        <w:tc>
          <w:tcPr>
            <w:tcW w:type="dxa" w:w="1128"/>
          </w:tcPr>
          <w:p>
            <w:r>
              <w:rPr>
                <w:rFonts w:ascii="Times New Roman" w:hAnsi="Times New Roman"/>
                <w:sz w:val="20"/>
              </w:rPr>
              <w:t>85.7 (45.9)</w:t>
            </w:r>
          </w:p>
        </w:tc>
        <w:tc>
          <w:tcPr>
            <w:tcW w:type="dxa" w:w="1128"/>
          </w:tcPr>
          <w:p>
            <w:r>
              <w:rPr>
                <w:rFonts w:ascii="Times New Roman" w:hAnsi="Times New Roman"/>
                <w:sz w:val="20"/>
              </w:rPr>
              <w:t>76.5 (53.0-110.5)</w:t>
            </w:r>
          </w:p>
        </w:tc>
        <w:tc>
          <w:tcPr>
            <w:tcW w:type="dxa" w:w="1128"/>
          </w:tcPr>
          <w:p>
            <w:r>
              <w:rPr>
                <w:rFonts w:ascii="Times New Roman" w:hAnsi="Times New Roman"/>
                <w:sz w:val="20"/>
              </w:rPr>
              <w:t>2.3</w:t>
            </w:r>
          </w:p>
        </w:tc>
        <w:tc>
          <w:tcPr>
            <w:tcW w:type="dxa" w:w="1128"/>
          </w:tcPr>
          <w:p>
            <w:r>
              <w:rPr>
                <w:rFonts w:ascii="Times New Roman" w:hAnsi="Times New Roman"/>
                <w:sz w:val="20"/>
              </w:rPr>
              <w:t>435.7</w:t>
            </w:r>
          </w:p>
        </w:tc>
        <w:tc>
          <w:tcPr>
            <w:tcW w:type="dxa" w:w="1128"/>
          </w:tcPr>
          <w:p>
            <w:r>
              <w:rPr>
                <w:rFonts w:ascii="Times New Roman" w:hAnsi="Times New Roman"/>
                <w:sz w:val="20"/>
              </w:rPr>
              <w:t>53.6</w:t>
            </w:r>
          </w:p>
        </w:tc>
        <w:tc>
          <w:tcPr>
            <w:tcW w:type="dxa" w:w="1128"/>
          </w:tcPr>
          <w:p>
            <w:r>
              <w:rPr>
                <w:rFonts w:ascii="Times New Roman" w:hAnsi="Times New Roman"/>
                <w:sz w:val="20"/>
              </w:rPr>
              <w:t>189</w:t>
            </w:r>
          </w:p>
        </w:tc>
      </w:tr>
      <w:tr>
        <w:tc>
          <w:tcPr>
            <w:tcW w:type="dxa" w:w="1128"/>
          </w:tcPr>
          <w:p>
            <w:r>
              <w:rPr>
                <w:rFonts w:ascii="Times New Roman" w:hAnsi="Times New Roman"/>
                <w:sz w:val="20"/>
              </w:rPr>
              <w:t>L002</w:t>
            </w:r>
          </w:p>
        </w:tc>
        <w:tc>
          <w:tcPr>
            <w:tcW w:type="dxa" w:w="1128"/>
          </w:tcPr>
          <w:p>
            <w:r>
              <w:rPr>
                <w:rFonts w:ascii="Times New Roman" w:hAnsi="Times New Roman"/>
                <w:sz w:val="20"/>
              </w:rPr>
              <w:t>307</w:t>
            </w:r>
          </w:p>
        </w:tc>
        <w:tc>
          <w:tcPr>
            <w:tcW w:type="dxa" w:w="1128"/>
          </w:tcPr>
          <w:p>
            <w:r>
              <w:rPr>
                <w:rFonts w:ascii="Times New Roman" w:hAnsi="Times New Roman"/>
                <w:sz w:val="20"/>
              </w:rPr>
              <w:t>61.4 (53.4)</w:t>
            </w:r>
          </w:p>
        </w:tc>
        <w:tc>
          <w:tcPr>
            <w:tcW w:type="dxa" w:w="1128"/>
          </w:tcPr>
          <w:p>
            <w:r>
              <w:rPr>
                <w:rFonts w:ascii="Times New Roman" w:hAnsi="Times New Roman"/>
                <w:sz w:val="20"/>
              </w:rPr>
              <w:t>47.7 (24.5-83.4)</w:t>
            </w:r>
          </w:p>
        </w:tc>
        <w:tc>
          <w:tcPr>
            <w:tcW w:type="dxa" w:w="1128"/>
          </w:tcPr>
          <w:p>
            <w:r>
              <w:rPr>
                <w:rFonts w:ascii="Times New Roman" w:hAnsi="Times New Roman"/>
                <w:sz w:val="20"/>
              </w:rPr>
              <w:t>0</w:t>
            </w:r>
          </w:p>
        </w:tc>
        <w:tc>
          <w:tcPr>
            <w:tcW w:type="dxa" w:w="1128"/>
          </w:tcPr>
          <w:p>
            <w:r>
              <w:rPr>
                <w:rFonts w:ascii="Times New Roman" w:hAnsi="Times New Roman"/>
                <w:sz w:val="20"/>
              </w:rPr>
              <w:t>519.1</w:t>
            </w:r>
          </w:p>
        </w:tc>
        <w:tc>
          <w:tcPr>
            <w:tcW w:type="dxa" w:w="1128"/>
          </w:tcPr>
          <w:p>
            <w:r>
              <w:rPr>
                <w:rFonts w:ascii="Times New Roman" w:hAnsi="Times New Roman"/>
                <w:sz w:val="20"/>
              </w:rPr>
              <w:t>87.0</w:t>
            </w:r>
          </w:p>
        </w:tc>
        <w:tc>
          <w:tcPr>
            <w:tcW w:type="dxa" w:w="1128"/>
          </w:tcPr>
          <w:p>
            <w:r>
              <w:rPr>
                <w:rFonts w:ascii="Times New Roman" w:hAnsi="Times New Roman"/>
                <w:sz w:val="20"/>
              </w:rPr>
              <w:t>-</w:t>
            </w:r>
          </w:p>
        </w:tc>
      </w:tr>
      <w:tr>
        <w:tc>
          <w:tcPr>
            <w:tcW w:type="dxa" w:w="1128"/>
          </w:tcPr>
          <w:p>
            <w:r>
              <w:rPr>
                <w:rFonts w:ascii="Times New Roman" w:hAnsi="Times New Roman"/>
                <w:sz w:val="20"/>
              </w:rPr>
              <w:t>L003</w:t>
            </w:r>
          </w:p>
        </w:tc>
        <w:tc>
          <w:tcPr>
            <w:tcW w:type="dxa" w:w="1128"/>
          </w:tcPr>
          <w:p>
            <w:r>
              <w:rPr>
                <w:rFonts w:ascii="Times New Roman" w:hAnsi="Times New Roman"/>
                <w:sz w:val="20"/>
              </w:rPr>
              <w:t>307</w:t>
            </w:r>
          </w:p>
        </w:tc>
        <w:tc>
          <w:tcPr>
            <w:tcW w:type="dxa" w:w="1128"/>
          </w:tcPr>
          <w:p>
            <w:r>
              <w:rPr>
                <w:rFonts w:ascii="Times New Roman" w:hAnsi="Times New Roman"/>
                <w:sz w:val="20"/>
              </w:rPr>
              <w:t>61.4 (39.8)</w:t>
            </w:r>
          </w:p>
        </w:tc>
        <w:tc>
          <w:tcPr>
            <w:tcW w:type="dxa" w:w="1128"/>
          </w:tcPr>
          <w:p>
            <w:r>
              <w:rPr>
                <w:rFonts w:ascii="Times New Roman" w:hAnsi="Times New Roman"/>
                <w:sz w:val="20"/>
              </w:rPr>
              <w:t>53.5 (32.0-82.0)</w:t>
            </w:r>
          </w:p>
        </w:tc>
        <w:tc>
          <w:tcPr>
            <w:tcW w:type="dxa" w:w="1128"/>
          </w:tcPr>
          <w:p>
            <w:r>
              <w:rPr>
                <w:rFonts w:ascii="Times New Roman" w:hAnsi="Times New Roman"/>
                <w:sz w:val="20"/>
              </w:rPr>
              <w:t>0</w:t>
            </w:r>
          </w:p>
        </w:tc>
        <w:tc>
          <w:tcPr>
            <w:tcW w:type="dxa" w:w="1128"/>
          </w:tcPr>
          <w:p>
            <w:r>
              <w:rPr>
                <w:rFonts w:ascii="Times New Roman" w:hAnsi="Times New Roman"/>
                <w:sz w:val="20"/>
              </w:rPr>
              <w:t>224.7</w:t>
            </w:r>
          </w:p>
        </w:tc>
        <w:tc>
          <w:tcPr>
            <w:tcW w:type="dxa" w:w="1128"/>
          </w:tcPr>
          <w:p>
            <w:r>
              <w:rPr>
                <w:rFonts w:ascii="Times New Roman" w:hAnsi="Times New Roman"/>
                <w:sz w:val="20"/>
              </w:rPr>
              <w:t>64.9</w:t>
            </w:r>
          </w:p>
        </w:tc>
        <w:tc>
          <w:tcPr>
            <w:tcW w:type="dxa" w:w="1128"/>
          </w:tcPr>
          <w:p>
            <w:r>
              <w:rPr>
                <w:rFonts w:ascii="Times New Roman" w:hAnsi="Times New Roman"/>
                <w:sz w:val="20"/>
              </w:rPr>
              <w:t>-</w:t>
            </w:r>
          </w:p>
        </w:tc>
      </w:tr>
      <w:tr>
        <w:tc>
          <w:tcPr>
            <w:tcW w:type="dxa" w:w="1128"/>
          </w:tcPr>
          <w:p>
            <w:r>
              <w:rPr>
                <w:rFonts w:ascii="Times New Roman" w:hAnsi="Times New Roman"/>
                <w:sz w:val="20"/>
              </w:rPr>
              <w:t>L004</w:t>
            </w:r>
          </w:p>
        </w:tc>
        <w:tc>
          <w:tcPr>
            <w:tcW w:type="dxa" w:w="1128"/>
          </w:tcPr>
          <w:p>
            <w:r>
              <w:rPr>
                <w:rFonts w:ascii="Times New Roman" w:hAnsi="Times New Roman"/>
                <w:sz w:val="20"/>
              </w:rPr>
              <w:t>320</w:t>
            </w:r>
          </w:p>
        </w:tc>
        <w:tc>
          <w:tcPr>
            <w:tcW w:type="dxa" w:w="1128"/>
          </w:tcPr>
          <w:p>
            <w:r>
              <w:rPr>
                <w:rFonts w:ascii="Times New Roman" w:hAnsi="Times New Roman"/>
                <w:sz w:val="20"/>
              </w:rPr>
              <w:t>82.5 (46.8)</w:t>
            </w:r>
          </w:p>
        </w:tc>
        <w:tc>
          <w:tcPr>
            <w:tcW w:type="dxa" w:w="1128"/>
          </w:tcPr>
          <w:p>
            <w:r>
              <w:rPr>
                <w:rFonts w:ascii="Times New Roman" w:hAnsi="Times New Roman"/>
                <w:sz w:val="20"/>
              </w:rPr>
              <w:t>76.5 (49.5-108.5)</w:t>
            </w:r>
          </w:p>
        </w:tc>
        <w:tc>
          <w:tcPr>
            <w:tcW w:type="dxa" w:w="1128"/>
          </w:tcPr>
          <w:p>
            <w:r>
              <w:rPr>
                <w:rFonts w:ascii="Times New Roman" w:hAnsi="Times New Roman"/>
                <w:sz w:val="20"/>
              </w:rPr>
              <w:t>0</w:t>
            </w:r>
          </w:p>
        </w:tc>
        <w:tc>
          <w:tcPr>
            <w:tcW w:type="dxa" w:w="1128"/>
          </w:tcPr>
          <w:p>
            <w:r>
              <w:rPr>
                <w:rFonts w:ascii="Times New Roman" w:hAnsi="Times New Roman"/>
                <w:sz w:val="20"/>
              </w:rPr>
              <w:t>318.0</w:t>
            </w:r>
          </w:p>
        </w:tc>
        <w:tc>
          <w:tcPr>
            <w:tcW w:type="dxa" w:w="1128"/>
          </w:tcPr>
          <w:p>
            <w:r>
              <w:rPr>
                <w:rFonts w:ascii="Times New Roman" w:hAnsi="Times New Roman"/>
                <w:sz w:val="20"/>
              </w:rPr>
              <w:t>56.8</w:t>
            </w:r>
          </w:p>
        </w:tc>
        <w:tc>
          <w:tcPr>
            <w:tcW w:type="dxa" w:w="1128"/>
          </w:tcPr>
          <w:p>
            <w:r>
              <w:rPr>
                <w:rFonts w:ascii="Times New Roman" w:hAnsi="Times New Roman"/>
                <w:sz w:val="20"/>
              </w:rPr>
              <w:t>-</w:t>
            </w:r>
          </w:p>
        </w:tc>
      </w:tr>
      <w:tr>
        <w:tc>
          <w:tcPr>
            <w:tcW w:type="dxa" w:w="1128"/>
          </w:tcPr>
          <w:p>
            <w:r>
              <w:rPr>
                <w:rFonts w:ascii="Times New Roman" w:hAnsi="Times New Roman"/>
                <w:sz w:val="20"/>
              </w:rPr>
              <w:t>L009</w:t>
            </w:r>
          </w:p>
        </w:tc>
        <w:tc>
          <w:tcPr>
            <w:tcW w:type="dxa" w:w="1128"/>
          </w:tcPr>
          <w:p>
            <w:r>
              <w:rPr>
                <w:rFonts w:ascii="Times New Roman" w:hAnsi="Times New Roman"/>
                <w:sz w:val="20"/>
              </w:rPr>
              <w:t>330</w:t>
            </w:r>
          </w:p>
        </w:tc>
        <w:tc>
          <w:tcPr>
            <w:tcW w:type="dxa" w:w="1128"/>
          </w:tcPr>
          <w:p>
            <w:r>
              <w:rPr>
                <w:rFonts w:ascii="Times New Roman" w:hAnsi="Times New Roman"/>
                <w:sz w:val="20"/>
              </w:rPr>
              <w:t>78.3 (43.0)</w:t>
            </w:r>
          </w:p>
        </w:tc>
        <w:tc>
          <w:tcPr>
            <w:tcW w:type="dxa" w:w="1128"/>
          </w:tcPr>
          <w:p>
            <w:r>
              <w:rPr>
                <w:rFonts w:ascii="Times New Roman" w:hAnsi="Times New Roman"/>
                <w:sz w:val="20"/>
              </w:rPr>
              <w:t>71.0 (47.5-101.5)</w:t>
            </w:r>
          </w:p>
        </w:tc>
        <w:tc>
          <w:tcPr>
            <w:tcW w:type="dxa" w:w="1128"/>
          </w:tcPr>
          <w:p>
            <w:r>
              <w:rPr>
                <w:rFonts w:ascii="Times New Roman" w:hAnsi="Times New Roman"/>
                <w:sz w:val="20"/>
              </w:rPr>
              <w:t>0</w:t>
            </w:r>
          </w:p>
        </w:tc>
        <w:tc>
          <w:tcPr>
            <w:tcW w:type="dxa" w:w="1128"/>
          </w:tcPr>
          <w:p>
            <w:r>
              <w:rPr>
                <w:rFonts w:ascii="Times New Roman" w:hAnsi="Times New Roman"/>
                <w:sz w:val="20"/>
              </w:rPr>
              <w:t>230.0</w:t>
            </w:r>
          </w:p>
        </w:tc>
        <w:tc>
          <w:tcPr>
            <w:tcW w:type="dxa" w:w="1128"/>
          </w:tcPr>
          <w:p>
            <w:r>
              <w:rPr>
                <w:rFonts w:ascii="Times New Roman" w:hAnsi="Times New Roman"/>
                <w:sz w:val="20"/>
              </w:rPr>
              <w:t>55.0</w:t>
            </w:r>
          </w:p>
        </w:tc>
        <w:tc>
          <w:tcPr>
            <w:tcW w:type="dxa" w:w="1128"/>
          </w:tcPr>
          <w:p>
            <w:r>
              <w:rPr>
                <w:rFonts w:ascii="Times New Roman" w:hAnsi="Times New Roman"/>
                <w:sz w:val="20"/>
              </w:rPr>
              <w:t>-</w:t>
            </w:r>
          </w:p>
        </w:tc>
      </w:tr>
      <w:tr>
        <w:tc>
          <w:tcPr>
            <w:tcW w:type="dxa" w:w="1128"/>
          </w:tcPr>
          <w:p>
            <w:r>
              <w:rPr>
                <w:rFonts w:ascii="Times New Roman" w:hAnsi="Times New Roman"/>
                <w:sz w:val="20"/>
              </w:rPr>
              <w:t>L100</w:t>
            </w:r>
          </w:p>
        </w:tc>
        <w:tc>
          <w:tcPr>
            <w:tcW w:type="dxa" w:w="1128"/>
          </w:tcPr>
          <w:p>
            <w:r>
              <w:rPr>
                <w:rFonts w:ascii="Times New Roman" w:hAnsi="Times New Roman"/>
                <w:sz w:val="20"/>
              </w:rPr>
              <w:t>324</w:t>
            </w:r>
          </w:p>
        </w:tc>
        <w:tc>
          <w:tcPr>
            <w:tcW w:type="dxa" w:w="1128"/>
          </w:tcPr>
          <w:p>
            <w:r>
              <w:rPr>
                <w:rFonts w:ascii="Times New Roman" w:hAnsi="Times New Roman"/>
                <w:sz w:val="20"/>
              </w:rPr>
              <w:t>60.5 (35.7)</w:t>
            </w:r>
          </w:p>
        </w:tc>
        <w:tc>
          <w:tcPr>
            <w:tcW w:type="dxa" w:w="1128"/>
          </w:tcPr>
          <w:p>
            <w:r>
              <w:rPr>
                <w:rFonts w:ascii="Times New Roman" w:hAnsi="Times New Roman"/>
                <w:sz w:val="20"/>
              </w:rPr>
              <w:t>53.5 (35.5-78.0)</w:t>
            </w:r>
          </w:p>
        </w:tc>
        <w:tc>
          <w:tcPr>
            <w:tcW w:type="dxa" w:w="1128"/>
          </w:tcPr>
          <w:p>
            <w:r>
              <w:rPr>
                <w:rFonts w:ascii="Times New Roman" w:hAnsi="Times New Roman"/>
                <w:sz w:val="20"/>
              </w:rPr>
              <w:t>0</w:t>
            </w:r>
          </w:p>
        </w:tc>
        <w:tc>
          <w:tcPr>
            <w:tcW w:type="dxa" w:w="1128"/>
          </w:tcPr>
          <w:p>
            <w:r>
              <w:rPr>
                <w:rFonts w:ascii="Times New Roman" w:hAnsi="Times New Roman"/>
                <w:sz w:val="20"/>
              </w:rPr>
              <w:t>247.0</w:t>
            </w:r>
          </w:p>
        </w:tc>
        <w:tc>
          <w:tcPr>
            <w:tcW w:type="dxa" w:w="1128"/>
          </w:tcPr>
          <w:p>
            <w:r>
              <w:rPr>
                <w:rFonts w:ascii="Times New Roman" w:hAnsi="Times New Roman"/>
                <w:sz w:val="20"/>
              </w:rPr>
              <w:t>59.0</w:t>
            </w:r>
          </w:p>
        </w:tc>
        <w:tc>
          <w:tcPr>
            <w:tcW w:type="dxa" w:w="1128"/>
          </w:tcPr>
          <w:p>
            <w:r>
              <w:rPr>
                <w:rFonts w:ascii="Times New Roman" w:hAnsi="Times New Roman"/>
                <w:sz w:val="20"/>
              </w:rPr>
              <w:t>-</w:t>
            </w:r>
          </w:p>
        </w:tc>
      </w:tr>
    </w:tbl>
    <w:p>
      <w:pPr>
        <w:spacing w:after="0"/>
      </w:pPr>
    </w:p>
    <w:p>
      <w:r>
        <w:rPr>
          <w:rFonts w:ascii="Times New Roman" w:hAnsi="Times New Roman"/>
          <w:i/>
          <w:sz w:val="24"/>
        </w:rPr>
        <w:t>CV, coefficient of variation; IQR, interquartile range; SD, standard deviation. Range ratio (max / min) is reported only where the minimum is non-zero. Areas with low claim volume are masked by the data provider and appear as missing values; the n column reflects the number of secondary medical areas with non-missing values for each code.</w:t>
      </w:r>
    </w:p>
    <w:p>
      <w:r>
        <w:br w:type="page"/>
      </w:r>
    </w:p>
    <w:p>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Code</w:t>
            </w:r>
          </w:p>
        </w:tc>
        <w:tc>
          <w:tcPr>
            <w:tcW w:type="dxa" w:w="1805"/>
          </w:tcPr>
          <w:p>
            <w:r>
              <w:rPr>
                <w:rFonts w:ascii="Times New Roman" w:hAnsi="Times New Roman"/>
                <w:b/>
                <w:sz w:val="20"/>
              </w:rPr>
              <w:t>Null model ICC</w:t>
            </w:r>
          </w:p>
        </w:tc>
        <w:tc>
          <w:tcPr>
            <w:tcW w:type="dxa" w:w="1805"/>
          </w:tcPr>
          <w:p>
            <w:r>
              <w:rPr>
                <w:rFonts w:ascii="Times New Roman" w:hAnsi="Times New Roman"/>
                <w:b/>
                <w:sz w:val="20"/>
              </w:rPr>
              <w:t>β university (95% CI)</w:t>
            </w:r>
          </w:p>
        </w:tc>
        <w:tc>
          <w:tcPr>
            <w:tcW w:type="dxa" w:w="1805"/>
          </w:tcPr>
          <w:p>
            <w:r>
              <w:rPr>
                <w:rFonts w:ascii="Times New Roman" w:hAnsi="Times New Roman"/>
                <w:b/>
                <w:sz w:val="20"/>
              </w:rPr>
              <w:t>P value</w:t>
            </w:r>
          </w:p>
        </w:tc>
        <w:tc>
          <w:tcPr>
            <w:tcW w:type="dxa" w:w="1805"/>
          </w:tcPr>
          <w:p>
            <w:r>
              <w:rPr>
                <w:rFonts w:ascii="Times New Roman" w:hAnsi="Times New Roman"/>
                <w:b/>
                <w:sz w:val="20"/>
              </w:rPr>
              <w:t>Marginal R²</w:t>
            </w:r>
          </w:p>
        </w:tc>
      </w:tr>
      <w:tr>
        <w:tc>
          <w:tcPr>
            <w:tcW w:type="dxa" w:w="1805"/>
          </w:tcPr>
          <w:p>
            <w:r>
              <w:rPr>
                <w:rFonts w:ascii="Times New Roman" w:hAnsi="Times New Roman"/>
                <w:sz w:val="20"/>
              </w:rPr>
              <w:t>L008</w:t>
            </w:r>
          </w:p>
        </w:tc>
        <w:tc>
          <w:tcPr>
            <w:tcW w:type="dxa" w:w="1805"/>
          </w:tcPr>
          <w:p>
            <w:r>
              <w:rPr>
                <w:rFonts w:ascii="Times New Roman" w:hAnsi="Times New Roman"/>
                <w:sz w:val="20"/>
              </w:rPr>
              <w:t>0.058</w:t>
            </w:r>
          </w:p>
        </w:tc>
        <w:tc>
          <w:tcPr>
            <w:tcW w:type="dxa" w:w="1805"/>
          </w:tcPr>
          <w:p>
            <w:r>
              <w:rPr>
                <w:rFonts w:ascii="Times New Roman" w:hAnsi="Times New Roman"/>
                <w:sz w:val="20"/>
              </w:rPr>
              <w:t>+64.1 (54.8 to 73.4)</w:t>
            </w:r>
          </w:p>
        </w:tc>
        <w:tc>
          <w:tcPr>
            <w:tcW w:type="dxa" w:w="1805"/>
          </w:tcPr>
          <w:p>
            <w:r>
              <w:rPr>
                <w:rFonts w:ascii="Times New Roman" w:hAnsi="Times New Roman"/>
                <w:sz w:val="20"/>
              </w:rPr>
              <w:t>&lt;0.001</w:t>
            </w:r>
          </w:p>
        </w:tc>
        <w:tc>
          <w:tcPr>
            <w:tcW w:type="dxa" w:w="1805"/>
          </w:tcPr>
          <w:p>
            <w:r>
              <w:rPr>
                <w:rFonts w:ascii="Times New Roman" w:hAnsi="Times New Roman"/>
                <w:sz w:val="20"/>
              </w:rPr>
              <w:t>0.358</w:t>
            </w:r>
          </w:p>
        </w:tc>
      </w:tr>
      <w:tr>
        <w:tc>
          <w:tcPr>
            <w:tcW w:type="dxa" w:w="1805"/>
          </w:tcPr>
          <w:p>
            <w:r>
              <w:rPr>
                <w:rFonts w:ascii="Times New Roman" w:hAnsi="Times New Roman"/>
                <w:sz w:val="20"/>
              </w:rPr>
              <w:t>L002</w:t>
            </w:r>
          </w:p>
        </w:tc>
        <w:tc>
          <w:tcPr>
            <w:tcW w:type="dxa" w:w="1805"/>
          </w:tcPr>
          <w:p>
            <w:r>
              <w:rPr>
                <w:rFonts w:ascii="Times New Roman" w:hAnsi="Times New Roman"/>
                <w:sz w:val="20"/>
              </w:rPr>
              <w:t>0.082</w:t>
            </w:r>
          </w:p>
        </w:tc>
        <w:tc>
          <w:tcPr>
            <w:tcW w:type="dxa" w:w="1805"/>
          </w:tcPr>
          <w:p>
            <w:r>
              <w:rPr>
                <w:rFonts w:ascii="Times New Roman" w:hAnsi="Times New Roman"/>
                <w:sz w:val="20"/>
              </w:rPr>
              <w:t>+49.0 (38.4 to 59.6)</w:t>
            </w:r>
          </w:p>
        </w:tc>
        <w:tc>
          <w:tcPr>
            <w:tcW w:type="dxa" w:w="1805"/>
          </w:tcPr>
          <w:p>
            <w:r>
              <w:rPr>
                <w:rFonts w:ascii="Times New Roman" w:hAnsi="Times New Roman"/>
                <w:sz w:val="20"/>
              </w:rPr>
              <w:t>&lt;0.001</w:t>
            </w:r>
          </w:p>
        </w:tc>
        <w:tc>
          <w:tcPr>
            <w:tcW w:type="dxa" w:w="1805"/>
          </w:tcPr>
          <w:p>
            <w:r>
              <w:rPr>
                <w:rFonts w:ascii="Times New Roman" w:hAnsi="Times New Roman"/>
                <w:sz w:val="20"/>
              </w:rPr>
              <w:t>0.205</w:t>
            </w:r>
          </w:p>
        </w:tc>
      </w:tr>
      <w:tr>
        <w:tc>
          <w:tcPr>
            <w:tcW w:type="dxa" w:w="1805"/>
          </w:tcPr>
          <w:p>
            <w:r>
              <w:rPr>
                <w:rFonts w:ascii="Times New Roman" w:hAnsi="Times New Roman"/>
                <w:sz w:val="20"/>
              </w:rPr>
              <w:t>L003</w:t>
            </w:r>
          </w:p>
        </w:tc>
        <w:tc>
          <w:tcPr>
            <w:tcW w:type="dxa" w:w="1805"/>
          </w:tcPr>
          <w:p>
            <w:r>
              <w:rPr>
                <w:rFonts w:ascii="Times New Roman" w:hAnsi="Times New Roman"/>
                <w:sz w:val="20"/>
              </w:rPr>
              <w:t>0.071</w:t>
            </w:r>
          </w:p>
        </w:tc>
        <w:tc>
          <w:tcPr>
            <w:tcW w:type="dxa" w:w="1805"/>
          </w:tcPr>
          <w:p>
            <w:r>
              <w:rPr>
                <w:rFonts w:ascii="Times New Roman" w:hAnsi="Times New Roman"/>
                <w:sz w:val="20"/>
              </w:rPr>
              <w:t>+55.8 (45.2 to 66.4)</w:t>
            </w:r>
          </w:p>
        </w:tc>
        <w:tc>
          <w:tcPr>
            <w:tcW w:type="dxa" w:w="1805"/>
          </w:tcPr>
          <w:p>
            <w:r>
              <w:rPr>
                <w:rFonts w:ascii="Times New Roman" w:hAnsi="Times New Roman"/>
                <w:sz w:val="20"/>
              </w:rPr>
              <w:t>&lt;0.001</w:t>
            </w:r>
          </w:p>
        </w:tc>
        <w:tc>
          <w:tcPr>
            <w:tcW w:type="dxa" w:w="1805"/>
          </w:tcPr>
          <w:p>
            <w:r>
              <w:rPr>
                <w:rFonts w:ascii="Times New Roman" w:hAnsi="Times New Roman"/>
                <w:sz w:val="20"/>
              </w:rPr>
              <w:t>0.245</w:t>
            </w:r>
          </w:p>
        </w:tc>
      </w:tr>
      <w:tr>
        <w:tc>
          <w:tcPr>
            <w:tcW w:type="dxa" w:w="1805"/>
          </w:tcPr>
          <w:p>
            <w:r>
              <w:rPr>
                <w:rFonts w:ascii="Times New Roman" w:hAnsi="Times New Roman"/>
                <w:sz w:val="20"/>
              </w:rPr>
              <w:t>L004</w:t>
            </w:r>
          </w:p>
        </w:tc>
        <w:tc>
          <w:tcPr>
            <w:tcW w:type="dxa" w:w="1805"/>
          </w:tcPr>
          <w:p>
            <w:r>
              <w:rPr>
                <w:rFonts w:ascii="Times New Roman" w:hAnsi="Times New Roman"/>
                <w:sz w:val="20"/>
              </w:rPr>
              <w:t>0.343</w:t>
            </w:r>
          </w:p>
        </w:tc>
        <w:tc>
          <w:tcPr>
            <w:tcW w:type="dxa" w:w="1805"/>
          </w:tcPr>
          <w:p>
            <w:r>
              <w:rPr>
                <w:rFonts w:ascii="Times New Roman" w:hAnsi="Times New Roman"/>
                <w:sz w:val="20"/>
              </w:rPr>
              <w:t>+23.0 (12.4 to 33.6)</w:t>
            </w:r>
          </w:p>
        </w:tc>
        <w:tc>
          <w:tcPr>
            <w:tcW w:type="dxa" w:w="1805"/>
          </w:tcPr>
          <w:p>
            <w:r>
              <w:rPr>
                <w:rFonts w:ascii="Times New Roman" w:hAnsi="Times New Roman"/>
                <w:sz w:val="20"/>
              </w:rPr>
              <w:t>&lt;0.001</w:t>
            </w:r>
          </w:p>
        </w:tc>
        <w:tc>
          <w:tcPr>
            <w:tcW w:type="dxa" w:w="1805"/>
          </w:tcPr>
          <w:p>
            <w:r>
              <w:rPr>
                <w:rFonts w:ascii="Times New Roman" w:hAnsi="Times New Roman"/>
                <w:sz w:val="20"/>
              </w:rPr>
              <w:t>0.045</w:t>
            </w:r>
          </w:p>
        </w:tc>
      </w:tr>
      <w:tr>
        <w:tc>
          <w:tcPr>
            <w:tcW w:type="dxa" w:w="1805"/>
          </w:tcPr>
          <w:p>
            <w:r>
              <w:rPr>
                <w:rFonts w:ascii="Times New Roman" w:hAnsi="Times New Roman"/>
                <w:sz w:val="20"/>
              </w:rPr>
              <w:t>L009</w:t>
            </w:r>
          </w:p>
        </w:tc>
        <w:tc>
          <w:tcPr>
            <w:tcW w:type="dxa" w:w="1805"/>
          </w:tcPr>
          <w:p>
            <w:r>
              <w:rPr>
                <w:rFonts w:ascii="Times New Roman" w:hAnsi="Times New Roman"/>
                <w:sz w:val="20"/>
              </w:rPr>
              <w:t>0.205</w:t>
            </w:r>
          </w:p>
        </w:tc>
        <w:tc>
          <w:tcPr>
            <w:tcW w:type="dxa" w:w="1805"/>
          </w:tcPr>
          <w:p>
            <w:r>
              <w:rPr>
                <w:rFonts w:ascii="Times New Roman" w:hAnsi="Times New Roman"/>
                <w:sz w:val="20"/>
              </w:rPr>
              <w:t>+47.6 (36.4 to 58.8)</w:t>
            </w:r>
          </w:p>
        </w:tc>
        <w:tc>
          <w:tcPr>
            <w:tcW w:type="dxa" w:w="1805"/>
          </w:tcPr>
          <w:p>
            <w:r>
              <w:rPr>
                <w:rFonts w:ascii="Times New Roman" w:hAnsi="Times New Roman"/>
                <w:sz w:val="20"/>
              </w:rPr>
              <w:t>&lt;0.001</w:t>
            </w:r>
          </w:p>
        </w:tc>
        <w:tc>
          <w:tcPr>
            <w:tcW w:type="dxa" w:w="1805"/>
          </w:tcPr>
          <w:p>
            <w:r>
              <w:rPr>
                <w:rFonts w:ascii="Times New Roman" w:hAnsi="Times New Roman"/>
                <w:sz w:val="20"/>
              </w:rPr>
              <w:t>0.180</w:t>
            </w:r>
          </w:p>
        </w:tc>
      </w:tr>
      <w:tr>
        <w:tc>
          <w:tcPr>
            <w:tcW w:type="dxa" w:w="1805"/>
          </w:tcPr>
          <w:p>
            <w:r>
              <w:rPr>
                <w:rFonts w:ascii="Times New Roman" w:hAnsi="Times New Roman"/>
                <w:sz w:val="20"/>
              </w:rPr>
              <w:t>L100</w:t>
            </w:r>
          </w:p>
        </w:tc>
        <w:tc>
          <w:tcPr>
            <w:tcW w:type="dxa" w:w="1805"/>
          </w:tcPr>
          <w:p>
            <w:r>
              <w:rPr>
                <w:rFonts w:ascii="Times New Roman" w:hAnsi="Times New Roman"/>
                <w:sz w:val="20"/>
              </w:rPr>
              <w:t>0.299</w:t>
            </w:r>
          </w:p>
        </w:tc>
        <w:tc>
          <w:tcPr>
            <w:tcW w:type="dxa" w:w="1805"/>
          </w:tcPr>
          <w:p>
            <w:r>
              <w:rPr>
                <w:rFonts w:ascii="Times New Roman" w:hAnsi="Times New Roman"/>
                <w:sz w:val="20"/>
              </w:rPr>
              <w:t>+18.4 (8.6 to 28.2)</w:t>
            </w:r>
          </w:p>
        </w:tc>
        <w:tc>
          <w:tcPr>
            <w:tcW w:type="dxa" w:w="1805"/>
          </w:tcPr>
          <w:p>
            <w:r>
              <w:rPr>
                <w:rFonts w:ascii="Times New Roman" w:hAnsi="Times New Roman"/>
                <w:sz w:val="20"/>
              </w:rPr>
              <w:t>&lt;0.001</w:t>
            </w:r>
          </w:p>
        </w:tc>
        <w:tc>
          <w:tcPr>
            <w:tcW w:type="dxa" w:w="1805"/>
          </w:tcPr>
          <w:p>
            <w:r>
              <w:rPr>
                <w:rFonts w:ascii="Times New Roman" w:hAnsi="Times New Roman"/>
                <w:sz w:val="20"/>
              </w:rPr>
              <w:t>0.038</w:t>
            </w:r>
          </w:p>
        </w:tc>
      </w:tr>
    </w:tbl>
    <w:p>
      <w:pPr>
        <w:spacing w:after="0"/>
      </w:pPr>
    </w:p>
    <w:p>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r>
        <w:br w:type="page"/>
      </w:r>
    </w:p>
    <w:p>
      <w:pPr>
        <w:spacing w:before="0" w:after="120"/>
      </w:pPr>
      <w:r>
        <w:rPr>
          <w:rFonts w:ascii="Times New Roman" w:hAnsi="Times New Roman"/>
          <w:b/>
          <w:sz w:val="26"/>
        </w:rPr>
        <w:t>FIGURE LEGENDS</w:t>
      </w:r>
    </w:p>
    <w:p>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r>
        <w:rPr>
          <w:rFonts w:ascii="Times New Roman" w:hAnsi="Times New Roman"/>
          <w:sz w:val="24"/>
        </w:rPr>
        <w:t>Figure 2. University hospital presence and the standardised claim ratio for general anaesthesia. (A) Distribution of secondary medical areas containing at least one university hospital (n = 64 of 335). (B) Within-prefecture comparison of mean general anaesthesia ratios between university and non-university areas across all 47 prefectures. The university effect is positive in all 47 of 47 prefectures (mean within-prefecture difference +63.3 points, paired t = 13.28, P &lt; 0.001).</w:t>
      </w:r>
    </w:p>
    <w:p>
      <w:r>
        <w:br w:type="page"/>
      </w:r>
    </w:p>
    <w:p>
      <w:pPr>
        <w:jc w:val="center"/>
      </w:pPr>
      <w:r>
        <w:rPr>
          <w:rFonts w:ascii="Times New Roman" w:hAnsi="Times New Roman"/>
          <w:b/>
          <w:sz w:val="24"/>
        </w:rPr>
        <w:t>Figure 1.</w:t>
      </w:r>
    </w:p>
    <w:p>
      <w:pPr>
        <w:jc w:val="center"/>
      </w:pPr>
      <w:r>
        <w:drawing>
          <wp:inline xmlns:a="http://schemas.openxmlformats.org/drawingml/2006/main" xmlns:pic="http://schemas.openxmlformats.org/drawingml/2006/picture">
            <wp:extent cx="5943600" cy="7010725"/>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943600" cy="7010725"/>
                    </a:xfrm>
                    <a:prstGeom prst="rect"/>
                  </pic:spPr>
                </pic:pic>
              </a:graphicData>
            </a:graphic>
          </wp:inline>
        </w:drawing>
      </w:r>
    </w:p>
    <w:p>
      <w:r>
        <w:br w:type="page"/>
      </w:r>
    </w:p>
    <w:p>
      <w:pPr>
        <w:jc w:val="center"/>
      </w:pPr>
      <w:r>
        <w:rPr>
          <w:rFonts w:ascii="Times New Roman" w:hAnsi="Times New Roman"/>
          <w:b/>
          <w:sz w:val="24"/>
        </w:rPr>
        <w:t>Figure 2.</w:t>
      </w:r>
    </w:p>
    <w:p>
      <w:pPr>
        <w:jc w:val="center"/>
      </w:pPr>
      <w:r>
        <w:drawing>
          <wp:inline xmlns:a="http://schemas.openxmlformats.org/drawingml/2006/main" xmlns:pic="http://schemas.openxmlformats.org/drawingml/2006/picture">
            <wp:extent cx="5943600" cy="3122663"/>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943600" cy="3122663"/>
                    </a:xfrm>
                    <a:prstGeom prst="rect"/>
                  </pic:spPr>
                </pic:pic>
              </a:graphicData>
            </a:graphic>
          </wp:inline>
        </w:drawing>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