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tested whether specialty-level litigation risk predicts later physician and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errors, equivalence tests and sensitivity analyses. The workforce grew in 11 of 12 specialties; general surgery, which changed by -2.3%, was the exception. Litigation rate was not associated with physician growth (coefficient -0.0009 per claim per 1,000 physicians; 95% CI -0.0040 to +0.0021; p=0.54) or hospital growth (p=0.90). A one-standard-deviation higher litigation rate changed physician growth by less than ±1% (TOST p=0.023) and hospital growth by less than ±2% (p=0.002); sensitivity analyses were unchanged and per-specialty rank correlations were mostly positive (10/12) and none significant. Specialty-level litigation risk in Japan is not associated with workforce decline and is statistically equivalent to a null effect within a small, policy-relevant margin. The belief that physicians flee high-litigation specialties is unsupported; structural incentives may sustain the workforce despite litigation risk.</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policy;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The full extraction pipeline (with source identifiers and SHA-256 checksums) is documented in the accompanying repository.</w:t>
      </w:r>
    </w:p>
    <w:p>
      <w:pPr>
        <w:spacing w:line="480" w:lineRule="auto" w:after="120"/>
      </w:pPr>
      <w:r>
        <w:rPr>
          <w:rFonts w:ascii="Times New Roman" w:hAnsi="Times New Roman"/>
          <w:b w:val="0"/>
          <w:i w:val="0"/>
          <w:sz w:val="24"/>
        </w:rPr>
        <w:t>Physician counts use the principal-specialty (主たる診疗科)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[11]</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2"/>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1; Table 2)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p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-0.0040, +0.0021</w:t>
            </w:r>
          </w:p>
        </w:tc>
        <w:tc>
          <w:tcPr>
            <w:tcW w:type="dxa" w:w="1872"/>
          </w:tcPr>
          <w:p>
            <w:pPr>
              <w:jc w:val="center"/>
            </w:pPr>
            <w:r>
              <w:rPr>
                <w:rFonts w:ascii="Times New Roman" w:hAnsi="Times New Roman"/>
                <w:sz w:val="18"/>
              </w:rPr>
              <w:t>0.54</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-0.0044, +0.0050</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0.49</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0.37</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2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size confounding and interpolation are sufficient to create spurious associations. The JOCS-CP indicator was associated with obstetric hospital growth (coefficient +0.024, p=0.003), consistent with a structural policy effect in the specialty most central to this debate.</w:t>
      </w:r>
    </w:p>
    <w:p>
      <w:pPr>
        <w:spacing w:before="280" w:after="120"/>
      </w:pPr>
      <w:r>
        <w:rPr>
          <w:rFonts w:ascii="Times New Roman" w:hAnsi="Times New Roman"/>
          <w:b/>
          <w:sz w:val="20"/>
        </w:rPr>
        <w:t>Figure 2.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p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16 years of official data.</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2"/>
        </w:rPr>
        <w:t>[6]</w:t>
      </w:r>
      <w:r>
        <w:rPr>
          <w:rFonts w:ascii="Times New Roman" w:hAnsi="Times New Roman"/>
          <w:b w:val="0"/>
          <w:i w:val="0"/>
          <w:sz w:val="24"/>
        </w:rPr>
        <w:t xml:space="preserve"> Other structural incentives, including the fee-for-service remuneration of high-acuity procedures, may also play a role, although our data cannot isolate their effects from other institutional factors. Under this view, maldistribution is better addressed through payment design and no-fault compensation than through litigation-avoidance messaging.</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