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[Date]</w:t>
      </w:r>
    </w:p>
    <w:p/>
    <w:p>
      <w:r>
        <w:rPr>
          <w:rFonts w:ascii="Times New Roman" w:hAnsi="Times New Roman"/>
          <w:sz w:val="24"/>
        </w:rPr>
        <w:t>The Editor-in-Chief</w:t>
      </w:r>
    </w:p>
    <w:p>
      <w:r>
        <w:rPr>
          <w:rFonts w:ascii="Times New Roman" w:hAnsi="Times New Roman"/>
          <w:sz w:val="24"/>
        </w:rPr>
        <w:t>Health Policy</w:t>
      </w:r>
    </w:p>
    <w:p/>
    <w:p>
      <w:r>
        <w:rPr>
          <w:rFonts w:ascii="Times New Roman" w:hAnsi="Times New Roman"/>
          <w:sz w:val="24"/>
        </w:rPr>
        <w:t>Dear Editor,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We submit an original full-length article, "Litigation risk and specialty-level physician workforce in Japan, 2008–2024: a rate-based analysis with equivalence testing", for consideration by Health Policy.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Japan is a high-income country outside the United States with a rapidly ageing population and a widely debated maldistribution of physicians across specialties. Using national primary data for 12 clinical specialties, we test whether malpractice-litigation risk is associated with subsequent decline in the physician workforce and in hospitals offering each specialty.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Crucially, we express exposure as a rate (closed claims per 1,000 physicians) to remove specialty-size confounding, analyse only measured biennial physician observations rather than interpolated annual values, and apply equivalence (TOST) testing. We find no association between litigation risk and workforce or hospital change; the effect is statistically equivalent to a null within a small, pre-specified margin. The common intuition that physicians avoid high-litigation specialties is not supported. We show that count-based associations can arise from size confounding and from treating interpolated years as independent observations, and we discuss how structural incentives—notably no-fault obstetric compensation (JOCS-CP)—may sustain the specialty workforce.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All data and code are openly available and every reported number is reproducible from the raw primary files in the accompanying repository.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The work is original, not under consideration elsewhere, and all authors approve the submission. We declare no conflicts of interest.</w:t>
      </w:r>
    </w:p>
    <w:p>
      <w:r>
        <w:rPr>
          <w:rFonts w:ascii="Times New Roman" w:hAnsi="Times New Roman"/>
          <w:sz w:val="24"/>
        </w:rPr>
        <w:t>Sincerely,</w:t>
      </w:r>
    </w:p>
    <w:p/>
    <w:p>
      <w:r>
        <w:rPr>
          <w:rFonts w:ascii="Times New Roman" w:hAnsi="Times New Roman"/>
          <w:sz w:val="24"/>
        </w:rPr>
        <w:t>[Corresponding author, on behalf of all authors]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