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Litigation risk is unrelated to physician or hospital decline across 12 specialties.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Count-based links vanish once size confounding and interpolation are removed.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 testing supports a null effect within policy-relevant margins.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No-fault obstetric compensation may sustain high-risk specialty supply.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Policy should target structural incentives, not litigation-avoidance messaging.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