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28"/>
        </w:rPr>
        <w:t>Litigation risk and specialty-level physician workforce in Japan, 2008–2024: a rate-based analysis with equivalence testing</w:t>
      </w:r>
    </w:p>
    <w:p>
      <w:pPr>
        <w:pStyle w:val="Heading1"/>
      </w:pPr>
      <w:r>
        <w:rPr>
          <w:rFonts w:ascii="Times New Roman" w:hAnsi="Times New Roman"/>
          <w:color w:val="000000"/>
        </w:rPr>
        <w:t>Abstract</w:t>
      </w:r>
    </w:p>
    <w:p>
      <w:pPr>
        <w:spacing w:line="480" w:lineRule="auto" w:after="120"/>
      </w:pPr>
      <w:r>
        <w:rPr>
          <w:rFonts w:ascii="Times New Roman" w:hAnsi="Times New Roman"/>
          <w:sz w:val="24"/>
        </w:rPr>
        <w:t>Specialty maldistribution in Japan has raised concern that malpractice litigation drives physicians from high-risk specialties. We tested whether specialty-level litigation risk predicts later physician and hospital decline. Using national primary data for 12 specialties (2008–2024), we measured exposure as closed malpractice claims per 1,000 physicians (rate, not count) and regressed biennial log-change in physicians and hospitals on the lagged litigation rate in a panel with specialty and wave fixed effects, cluster-robust errors, equivalence tests and sensitivity analyses. The workforce grew in 11 of 12 specialties; general surgery, which changed by -2.3%, was the exception. Litigation rate was not associated with physician growth (coefficient -0.0009 per claim per 1,000 physicians; 95% CI -0.0040 to +0.0021; p=0.54) or hospital growth (p=0.90). A one-standard-deviation higher litigation rate changed physician growth by less than ±1% (TOST p=0.023) and hospital growth by less than ±2% (p=0.002); sensitivity analyses were unchanged and per-specialty rank correlations were mostly positive (10/12) and none significant. Specialty-level litigation risk in Japan is not associated with workforce decline and is statistically equivalent to a null effect within a small, policy-relevant margin. The belief that physicians flee high-litigation specialties is unsupported; structural incentives may sustain the workforce despite litigation risk.</w:t>
      </w:r>
    </w:p>
    <w:p>
      <w:pPr>
        <w:spacing w:after="360"/>
      </w:pPr>
      <w:r>
        <w:rPr>
          <w:rFonts w:ascii="Times New Roman" w:hAnsi="Times New Roman"/>
          <w:b/>
        </w:rPr>
        <w:t xml:space="preserve">Keywords: </w:t>
      </w:r>
      <w:r>
        <w:rPr>
          <w:rFonts w:ascii="Times New Roman" w:hAnsi="Times New Roman"/>
          <w:b w:val="0"/>
          <w:i w:val="0"/>
          <w:sz w:val="24"/>
        </w:rPr>
        <w:t>malpractice litigation; physician workforce; specialty maldistribution; equivalence testing; health policy; Japan</w:t>
      </w:r>
    </w:p>
    <w:p>
      <w:pPr>
        <w:pStyle w:val="Heading1"/>
      </w:pPr>
      <w:r>
        <w:rPr>
          <w:rFonts w:ascii="Times New Roman" w:hAnsi="Times New Roman"/>
          <w:color w:val="000000"/>
        </w:rPr>
        <w:t>Introduction</w:t>
      </w:r>
    </w:p>
    <w:p>
      <w:pPr>
        <w:spacing w:line="480" w:lineRule="auto" w:after="120"/>
      </w:pPr>
      <w:r>
        <w:rPr>
          <w:rFonts w:ascii="Times New Roman" w:hAnsi="Times New Roman"/>
          <w:b w:val="0"/>
          <w:i w:val="0"/>
          <w:sz w:val="24"/>
        </w:rPr>
        <w:t>Japan faces a marked maldistribution of physicians across specialties despite continued growth in the total physician supply. High-acuity fields such as surgery, obstetrics and gynaecology, paediatrics and emergency care are widely perceived as understaffed.</w:t>
      </w:r>
      <w:r>
        <w:rPr>
          <w:rFonts w:ascii="Times New Roman" w:hAnsi="Times New Roman"/>
          <w:sz w:val="22"/>
        </w:rPr>
        <w:t>[1]</w:t>
      </w:r>
      <w:r>
        <w:rPr>
          <w:rFonts w:ascii="Times New Roman" w:hAnsi="Times New Roman"/>
          <w:b w:val="0"/>
          <w:i w:val="0"/>
          <w:sz w:val="24"/>
        </w:rPr>
        <w:t xml:space="preserve"> A recurring policy intuition is that medical safety incidents and the threat of malpractice litigation push physicians away from high-risk specialties toward lower-risk practice.</w:t>
      </w:r>
      <w:r>
        <w:rPr>
          <w:rFonts w:ascii="Times New Roman" w:hAnsi="Times New Roman"/>
          <w:sz w:val="22"/>
        </w:rPr>
        <w:t>[2-3]</w:t>
      </w:r>
      <w:r>
        <w:rPr>
          <w:rFonts w:ascii="Times New Roman" w:hAnsi="Times New Roman"/>
          <w:b w:val="0"/>
          <w:i w:val="0"/>
          <w:sz w:val="24"/>
        </w:rPr>
        <w:t xml:space="preserve"> If true, reducing litigation exposure would be a lever against maldistribution.</w:t>
      </w:r>
    </w:p>
    <w:p>
      <w:pPr>
        <w:spacing w:line="480" w:lineRule="auto" w:after="120"/>
      </w:pPr>
      <w:r>
        <w:rPr>
          <w:rFonts w:ascii="Times New Roman" w:hAnsi="Times New Roman"/>
          <w:b w:val="0"/>
          <w:i w:val="0"/>
          <w:sz w:val="24"/>
        </w:rPr>
        <w:t>Prior work in this area often related raw annual counts of incidents or lawsuits to raw counts of physicians or facilities. Two features make such designs prone to spurious association. First, counts are not adjusted for specialty size: a larger specialty mechanically accumulates more procedures, more claims and more physicians, so counts co-move without any behavioural mechanism. Second, the physician census is collected only biennially; interpolating it to an annual series and analysing it as if each year were an independent observation inflates the degrees of freedom of any lag-based method.</w:t>
      </w:r>
    </w:p>
    <w:p>
      <w:pPr>
        <w:spacing w:line="480" w:lineRule="auto" w:after="120"/>
      </w:pPr>
      <w:r>
        <w:rPr>
          <w:rFonts w:ascii="Times New Roman" w:hAnsi="Times New Roman"/>
          <w:b w:val="0"/>
          <w:i w:val="0"/>
          <w:sz w:val="24"/>
        </w:rPr>
        <w:t>We therefore examined the question using rates rather than counts, using only measured biennial physician observations, and using equivalence testing—which can provide positive evidence for the absence of a meaningful effect rather than merely failing to reject a null.</w:t>
      </w:r>
      <w:r>
        <w:rPr>
          <w:rFonts w:ascii="Times New Roman" w:hAnsi="Times New Roman"/>
          <w:sz w:val="22"/>
        </w:rPr>
        <w:t>[4-5]</w:t>
      </w:r>
      <w:r>
        <w:rPr>
          <w:rFonts w:ascii="Times New Roman" w:hAnsi="Times New Roman"/>
          <w:b w:val="0"/>
          <w:i w:val="0"/>
          <w:sz w:val="24"/>
        </w:rPr>
        <w:t xml:space="preserve"> We also account for the Japan Obstetric Compensation System for Cerebral Palsy (JOCS-CP), a no-fault scheme launched in January 2009 that sits within the study window and applies to the specialty most often cited in this debate.</w:t>
      </w:r>
      <w:r>
        <w:rPr>
          <w:rFonts w:ascii="Times New Roman" w:hAnsi="Times New Roman"/>
          <w:sz w:val="22"/>
        </w:rPr>
        <w:t>[6]</w:t>
      </w:r>
    </w:p>
    <w:p>
      <w:pPr>
        <w:pStyle w:val="Heading1"/>
      </w:pPr>
      <w:r>
        <w:rPr>
          <w:rFonts w:ascii="Times New Roman" w:hAnsi="Times New Roman"/>
          <w:color w:val="000000"/>
        </w:rPr>
        <w:t>Materials and methods</w:t>
      </w:r>
    </w:p>
    <w:p>
      <w:pPr>
        <w:pStyle w:val="Heading2"/>
      </w:pPr>
      <w:r>
        <w:rPr>
          <w:rFonts w:ascii="Times New Roman" w:hAnsi="Times New Roman"/>
          <w:color w:val="000000"/>
        </w:rPr>
        <w:t>Data sources</w:t>
      </w:r>
    </w:p>
    <w:p>
      <w:pPr>
        <w:spacing w:line="480" w:lineRule="auto" w:after="120"/>
      </w:pPr>
      <w:r>
        <w:rPr>
          <w:rFonts w:ascii="Times New Roman" w:hAnsi="Times New Roman"/>
          <w:b w:val="0"/>
          <w:i w:val="0"/>
          <w:sz w:val="24"/>
        </w:rPr>
        <w:t>We report this observational study following the STROBE guidance.</w:t>
      </w:r>
      <w:r>
        <w:rPr>
          <w:rFonts w:ascii="Times New Roman" w:hAnsi="Times New Roman"/>
          <w:sz w:val="22"/>
        </w:rPr>
        <w:t>[7]</w:t>
      </w:r>
      <w:r>
        <w:rPr>
          <w:rFonts w:ascii="Times New Roman" w:hAnsi="Times New Roman"/>
          <w:b w:val="0"/>
          <w:i w:val="0"/>
          <w:sz w:val="24"/>
        </w:rPr>
        <w:t xml:space="preserve"> We studied 12 core clinical specialties for which the Supreme Court reports specialty-specific litigation. Three official primary series were used: physician counts by specialty from the biennial Statistics of Physicians, Dentists and Pharmacists</w:t>
      </w:r>
      <w:r>
        <w:rPr>
          <w:rFonts w:ascii="Times New Roman" w:hAnsi="Times New Roman"/>
          <w:sz w:val="22"/>
        </w:rPr>
        <w:t>[8]</w:t>
      </w:r>
      <w:r>
        <w:rPr>
          <w:rFonts w:ascii="Times New Roman" w:hAnsi="Times New Roman"/>
          <w:b w:val="0"/>
          <w:i w:val="0"/>
          <w:sz w:val="24"/>
        </w:rPr>
        <w:t>; closed malpractice claims by specialty from the Supreme Court of Japan</w:t>
      </w:r>
      <w:r>
        <w:rPr>
          <w:rFonts w:ascii="Times New Roman" w:hAnsi="Times New Roman"/>
          <w:sz w:val="22"/>
        </w:rPr>
        <w:t>[9]</w:t>
      </w:r>
      <w:r>
        <w:rPr>
          <w:rFonts w:ascii="Times New Roman" w:hAnsi="Times New Roman"/>
          <w:b w:val="0"/>
          <w:i w:val="0"/>
          <w:sz w:val="24"/>
        </w:rPr>
        <w:t>; and hospital counts by specialty from the annual Survey of Medical Institutions</w:t>
      </w:r>
      <w:r>
        <w:rPr>
          <w:rFonts w:ascii="Times New Roman" w:hAnsi="Times New Roman"/>
          <w:sz w:val="22"/>
        </w:rPr>
        <w:t>[10]</w:t>
      </w:r>
      <w:r>
        <w:rPr>
          <w:rFonts w:ascii="Times New Roman" w:hAnsi="Times New Roman"/>
          <w:b w:val="0"/>
          <w:i w:val="0"/>
          <w:sz w:val="24"/>
        </w:rPr>
        <w:t>. The full extraction pipeline (with source identifiers and SHA-256 checksums) is documented in the accompanying repository.</w:t>
      </w:r>
    </w:p>
    <w:p>
      <w:pPr>
        <w:spacing w:line="480" w:lineRule="auto" w:after="120"/>
      </w:pPr>
      <w:r>
        <w:rPr>
          <w:rFonts w:ascii="Times New Roman" w:hAnsi="Times New Roman"/>
          <w:b w:val="0"/>
          <w:i w:val="0"/>
          <w:sz w:val="24"/>
        </w:rPr>
        <w:t>Physician counts use the principal-specialty (主たる診疗科) classification; broad categories were matched to the Supreme Court's specialty labels, and subspecialties were aggregated in code. Because the Court assigns multi-specialty cases to a single principal specialty and states that the counts do not represent the intrinsic risk of each specialty, we treat litigation as an exposure signal rather than a measure of incident risk.</w:t>
      </w:r>
      <w:r>
        <w:rPr>
          <w:rFonts w:ascii="Times New Roman" w:hAnsi="Times New Roman"/>
          <w:sz w:val="22"/>
        </w:rPr>
        <w:t>[9]</w:t>
      </w:r>
      <w:r>
        <w:rPr>
          <w:rFonts w:ascii="Times New Roman" w:hAnsi="Times New Roman"/>
          <w:b w:val="0"/>
          <w:i w:val="0"/>
          <w:sz w:val="24"/>
        </w:rPr>
        <w:t xml:space="preserve"> We distinguish litigation from the Medical Accident Investigation System, which began in 2015 and covers only deaths and stillbirths judged unforeseen by the hospital administrator; it is not a general incident-reporting system and is not used as an exposure here.</w:t>
      </w:r>
      <w:r>
        <w:rPr>
          <w:rFonts w:ascii="Times New Roman" w:hAnsi="Times New Roman"/>
          <w:sz w:val="22"/>
        </w:rPr>
        <w:t>[11]</w:t>
      </w:r>
      <w:r>
        <w:rPr>
          <w:rFonts w:ascii="Times New Roman" w:hAnsi="Times New Roman"/>
          <w:b w:val="0"/>
          <w:i w:val="0"/>
          <w:sz w:val="24"/>
        </w:rPr>
        <w:t xml:space="preserve"> Primary data sources and their resolution are summarised in Supplementary Table 1.</w:t>
      </w:r>
    </w:p>
    <w:p>
      <w:pPr>
        <w:pStyle w:val="Heading2"/>
      </w:pPr>
      <w:r>
        <w:rPr>
          <w:rFonts w:ascii="Times New Roman" w:hAnsi="Times New Roman"/>
          <w:color w:val="000000"/>
        </w:rPr>
        <w:t>Statistical analysis</w:t>
      </w:r>
    </w:p>
    <w:p>
      <w:pPr>
        <w:spacing w:line="480" w:lineRule="auto" w:after="120"/>
      </w:pPr>
      <w:r>
        <w:rPr>
          <w:rFonts w:ascii="Times New Roman" w:hAnsi="Times New Roman"/>
          <w:b w:val="0"/>
          <w:i w:val="0"/>
          <w:sz w:val="24"/>
        </w:rPr>
        <w:t>The exposure was the litigation rate, defined as closed claims per 1,000 physicians in each specialty-year, which removes specialty-size confounding. The primary analysis used the 9 measured biennial physician waves (2008–2024). For each specialty we computed the biennial log-change in physicians (and, separately, in hospitals) and regressed it on the litigation rate at the start of the interval, in a panel with specialty and wave fixed effects and standard errors clustered by specialty.</w:t>
      </w:r>
      <w:r>
        <w:rPr>
          <w:rFonts w:ascii="Times New Roman" w:hAnsi="Times New Roman"/>
          <w:sz w:val="22"/>
        </w:rPr>
        <w:t>[12]</w:t>
      </w:r>
      <w:r>
        <w:rPr>
          <w:rFonts w:ascii="Times New Roman" w:hAnsi="Times New Roman"/>
          <w:b w:val="0"/>
          <w:i w:val="0"/>
          <w:sz w:val="24"/>
        </w:rPr>
        <w:t xml:space="preserve"> Fixed effects absorb time-invariant specialty characteristics and common shocks, so identification comes from within-specialty deviations in litigation rate over time.</w:t>
      </w:r>
    </w:p>
    <w:p>
      <w:pPr>
        <w:spacing w:line="480" w:lineRule="auto" w:after="120"/>
      </w:pPr>
      <w:r>
        <w:rPr>
          <w:rFonts w:ascii="Times New Roman" w:hAnsi="Times New Roman"/>
          <w:b w:val="0"/>
          <w:i w:val="0"/>
          <w:sz w:val="24"/>
        </w:rPr>
        <w:t>We assessed equivalence to a null effect using two one-sided tests (TOST).</w:t>
      </w:r>
      <w:r>
        <w:rPr>
          <w:rFonts w:ascii="Times New Roman" w:hAnsi="Times New Roman"/>
          <w:sz w:val="22"/>
        </w:rPr>
        <w:t>[4-5]</w:t>
      </w:r>
      <w:r>
        <w:rPr>
          <w:rFonts w:ascii="Times New Roman" w:hAnsi="Times New Roman"/>
          <w:b w:val="0"/>
          <w:i w:val="0"/>
          <w:sz w:val="24"/>
        </w:rPr>
        <w:t xml:space="preserve"> The exposure was standardised so the coefficient is the expected log-change per 1-SD increase in litigation rate; we pre-specified equivalence margins of ±1% and ±2% biennial workforce change and used the number of specialty clusters minus one as the degrees of freedom. An indicator for obstetrics and gynaecology from 2009 onward captured the JOCS-CP period.</w:t>
      </w:r>
      <w:r>
        <w:rPr>
          <w:rFonts w:ascii="Times New Roman" w:hAnsi="Times New Roman"/>
          <w:sz w:val="22"/>
        </w:rPr>
        <w:t>[6]</w:t>
      </w:r>
      <w:r>
        <w:rPr>
          <w:rFonts w:ascii="Times New Roman" w:hAnsi="Times New Roman"/>
          <w:b w:val="0"/>
          <w:i w:val="0"/>
          <w:sz w:val="24"/>
        </w:rPr>
        <w:t xml:space="preserve"> Sensitivity analyses repeated the models on (i) the annual hospital series, (ii) a linearly interpolated annual physician series (with degrees of freedom governed by the measured waves, not the interpolated n), and (iii) raw counts instead of rates. Because the primary analyses are confirmatory and null, we did not adjust for multiplicity and interpret the single secondary association (the JOCS-CP indicator) as exploratory. Analyses used Python (statsmodels); code and data are openly available.</w:t>
      </w:r>
    </w:p>
    <w:p>
      <w:pPr>
        <w:pStyle w:val="Heading1"/>
      </w:pPr>
      <w:r>
        <w:rPr>
          <w:rFonts w:ascii="Times New Roman" w:hAnsi="Times New Roman"/>
          <w:color w:val="000000"/>
        </w:rPr>
        <w:t>Results</w:t>
      </w:r>
    </w:p>
    <w:p>
      <w:pPr>
        <w:pStyle w:val="Heading2"/>
      </w:pPr>
      <w:r>
        <w:rPr>
          <w:rFonts w:ascii="Times New Roman" w:hAnsi="Times New Roman"/>
          <w:color w:val="000000"/>
        </w:rPr>
        <w:t>Workforce and litigation trends</w:t>
      </w:r>
    </w:p>
    <w:p>
      <w:pPr>
        <w:spacing w:line="480" w:lineRule="auto" w:after="120"/>
      </w:pPr>
      <w:r>
        <w:rPr>
          <w:rFonts w:ascii="Times New Roman" w:hAnsi="Times New Roman"/>
          <w:b w:val="0"/>
          <w:i w:val="0"/>
          <w:sz w:val="24"/>
        </w:rPr>
        <w:t>Litigation rates per 1,000 physicians varied several-fold across specialties and fell over time in 10 of 12 fields (Supplementary Figure 1). Over the same period the physician workforce grew in 11 of 12 specialties (Supplementary Figure 2; Table 1); the only exception was general surgery, which was essentially flat (-2.3% across 16 years). Exposure and workforce therefore did not move in opposite directions as a flight-from-risk account would predict.</w:t>
      </w:r>
    </w:p>
    <w:p>
      <w:pPr>
        <w:spacing w:before="280" w:after="120"/>
      </w:pPr>
      <w:r>
        <w:rPr>
          <w:rFonts w:ascii="Times New Roman" w:hAnsi="Times New Roman"/>
          <w:b/>
          <w:sz w:val="20"/>
        </w:rPr>
        <w:t>Table 1. Physicians, litigation rate (per 1,000 physicians) and hospitals by specialty, first and last waves.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Pr>
                <w:rFonts w:ascii="Times New Roman" w:hAnsi="Times New Roman"/>
                <w:b/>
                <w:sz w:val="18"/>
              </w:rPr>
              <w:t>Specialty</w:t>
            </w:r>
          </w:p>
        </w:tc>
        <w:tc>
          <w:tcPr>
            <w:tcW w:type="dxa" w:w="1337"/>
          </w:tcPr>
          <w:p>
            <w:pPr>
              <w:jc w:val="center"/>
            </w:pPr>
            <w:r>
              <w:rPr>
                <w:rFonts w:ascii="Times New Roman" w:hAnsi="Times New Roman"/>
                <w:b/>
                <w:sz w:val="18"/>
              </w:rPr>
              <w:t>Physicians 2008</w:t>
            </w:r>
          </w:p>
        </w:tc>
        <w:tc>
          <w:tcPr>
            <w:tcW w:type="dxa" w:w="1337"/>
          </w:tcPr>
          <w:p>
            <w:pPr>
              <w:jc w:val="center"/>
            </w:pPr>
            <w:r>
              <w:rPr>
                <w:rFonts w:ascii="Times New Roman" w:hAnsi="Times New Roman"/>
                <w:b/>
                <w:sz w:val="18"/>
              </w:rPr>
              <w:t>Physicians 2024</w:t>
            </w:r>
          </w:p>
        </w:tc>
        <w:tc>
          <w:tcPr>
            <w:tcW w:type="dxa" w:w="1337"/>
          </w:tcPr>
          <w:p>
            <w:pPr>
              <w:jc w:val="center"/>
            </w:pPr>
            <w:r>
              <w:rPr>
                <w:rFonts w:ascii="Times New Roman" w:hAnsi="Times New Roman"/>
                <w:b/>
                <w:sz w:val="18"/>
              </w:rPr>
              <w:t>Lit. rate 2008</w:t>
            </w:r>
          </w:p>
        </w:tc>
        <w:tc>
          <w:tcPr>
            <w:tcW w:type="dxa" w:w="1337"/>
          </w:tcPr>
          <w:p>
            <w:pPr>
              <w:jc w:val="center"/>
            </w:pPr>
            <w:r>
              <w:rPr>
                <w:rFonts w:ascii="Times New Roman" w:hAnsi="Times New Roman"/>
                <w:b/>
                <w:sz w:val="18"/>
              </w:rPr>
              <w:t>Lit. rate 2024</w:t>
            </w:r>
          </w:p>
        </w:tc>
        <w:tc>
          <w:tcPr>
            <w:tcW w:type="dxa" w:w="1337"/>
          </w:tcPr>
          <w:p>
            <w:pPr>
              <w:jc w:val="center"/>
            </w:pPr>
            <w:r>
              <w:rPr>
                <w:rFonts w:ascii="Times New Roman" w:hAnsi="Times New Roman"/>
                <w:b/>
                <w:sz w:val="18"/>
              </w:rPr>
              <w:t>Hospitals 2008</w:t>
            </w:r>
          </w:p>
        </w:tc>
        <w:tc>
          <w:tcPr>
            <w:tcW w:type="dxa" w:w="1337"/>
          </w:tcPr>
          <w:p>
            <w:pPr>
              <w:jc w:val="center"/>
            </w:pPr>
            <w:r>
              <w:rPr>
                <w:rFonts w:ascii="Times New Roman" w:hAnsi="Times New Roman"/>
                <w:b/>
                <w:sz w:val="18"/>
              </w:rPr>
              <w:t>Hospitals 2024</w:t>
            </w:r>
          </w:p>
        </w:tc>
      </w:tr>
      <w:tr>
        <w:tc>
          <w:tcPr>
            <w:tcW w:type="dxa" w:w="1337"/>
          </w:tcPr>
          <w:p>
            <w:r>
              <w:rPr>
                <w:rFonts w:ascii="Times New Roman" w:hAnsi="Times New Roman"/>
                <w:sz w:val="18"/>
              </w:rPr>
              <w:t>Internal medicine</w:t>
            </w:r>
          </w:p>
        </w:tc>
        <w:tc>
          <w:tcPr>
            <w:tcW w:type="dxa" w:w="1337"/>
          </w:tcPr>
          <w:p>
            <w:pPr>
              <w:jc w:val="center"/>
            </w:pPr>
            <w:r>
              <w:rPr>
                <w:rFonts w:ascii="Times New Roman" w:hAnsi="Times New Roman"/>
                <w:sz w:val="18"/>
              </w:rPr>
              <w:t>102388</w:t>
            </w:r>
          </w:p>
        </w:tc>
        <w:tc>
          <w:tcPr>
            <w:tcW w:type="dxa" w:w="1337"/>
          </w:tcPr>
          <w:p>
            <w:pPr>
              <w:jc w:val="center"/>
            </w:pPr>
            <w:r>
              <w:rPr>
                <w:rFonts w:ascii="Times New Roman" w:hAnsi="Times New Roman"/>
                <w:sz w:val="18"/>
              </w:rPr>
              <w:t>124010</w:t>
            </w:r>
          </w:p>
        </w:tc>
        <w:tc>
          <w:tcPr>
            <w:tcW w:type="dxa" w:w="1337"/>
          </w:tcPr>
          <w:p>
            <w:pPr>
              <w:jc w:val="center"/>
            </w:pPr>
            <w:r>
              <w:rPr>
                <w:rFonts w:ascii="Times New Roman" w:hAnsi="Times New Roman"/>
                <w:sz w:val="18"/>
              </w:rPr>
              <w:t>2.23</w:t>
            </w:r>
          </w:p>
        </w:tc>
        <w:tc>
          <w:tcPr>
            <w:tcW w:type="dxa" w:w="1337"/>
          </w:tcPr>
          <w:p>
            <w:pPr>
              <w:jc w:val="center"/>
            </w:pPr>
            <w:r>
              <w:rPr>
                <w:rFonts w:ascii="Times New Roman" w:hAnsi="Times New Roman"/>
                <w:sz w:val="18"/>
              </w:rPr>
              <w:t>1.48</w:t>
            </w:r>
          </w:p>
        </w:tc>
        <w:tc>
          <w:tcPr>
            <w:tcW w:type="dxa" w:w="1337"/>
          </w:tcPr>
          <w:p>
            <w:pPr>
              <w:jc w:val="center"/>
            </w:pPr>
            <w:r>
              <w:rPr>
                <w:rFonts w:ascii="Times New Roman" w:hAnsi="Times New Roman"/>
                <w:sz w:val="18"/>
              </w:rPr>
              <w:t>7725</w:t>
            </w:r>
          </w:p>
        </w:tc>
        <w:tc>
          <w:tcPr>
            <w:tcW w:type="dxa" w:w="1337"/>
          </w:tcPr>
          <w:p>
            <w:pPr>
              <w:jc w:val="center"/>
            </w:pPr>
            <w:r>
              <w:rPr>
                <w:rFonts w:ascii="Times New Roman" w:hAnsi="Times New Roman"/>
                <w:sz w:val="18"/>
              </w:rPr>
              <w:t>7163</w:t>
            </w:r>
          </w:p>
        </w:tc>
      </w:tr>
      <w:tr>
        <w:tc>
          <w:tcPr>
            <w:tcW w:type="dxa" w:w="1337"/>
          </w:tcPr>
          <w:p>
            <w:r>
              <w:rPr>
                <w:rFonts w:ascii="Times New Roman" w:hAnsi="Times New Roman"/>
                <w:sz w:val="18"/>
              </w:rPr>
              <w:t>Surgery</w:t>
            </w:r>
          </w:p>
        </w:tc>
        <w:tc>
          <w:tcPr>
            <w:tcW w:type="dxa" w:w="1337"/>
          </w:tcPr>
          <w:p>
            <w:pPr>
              <w:jc w:val="center"/>
            </w:pPr>
            <w:r>
              <w:rPr>
                <w:rFonts w:ascii="Times New Roman" w:hAnsi="Times New Roman"/>
                <w:sz w:val="18"/>
              </w:rPr>
              <w:t>27525</w:t>
            </w:r>
          </w:p>
        </w:tc>
        <w:tc>
          <w:tcPr>
            <w:tcW w:type="dxa" w:w="1337"/>
          </w:tcPr>
          <w:p>
            <w:pPr>
              <w:jc w:val="center"/>
            </w:pPr>
            <w:r>
              <w:rPr>
                <w:rFonts w:ascii="Times New Roman" w:hAnsi="Times New Roman"/>
                <w:sz w:val="18"/>
              </w:rPr>
              <w:t>26885</w:t>
            </w:r>
          </w:p>
        </w:tc>
        <w:tc>
          <w:tcPr>
            <w:tcW w:type="dxa" w:w="1337"/>
          </w:tcPr>
          <w:p>
            <w:pPr>
              <w:jc w:val="center"/>
            </w:pPr>
            <w:r>
              <w:rPr>
                <w:rFonts w:ascii="Times New Roman" w:hAnsi="Times New Roman"/>
                <w:sz w:val="18"/>
              </w:rPr>
              <w:t>6.54</w:t>
            </w:r>
          </w:p>
        </w:tc>
        <w:tc>
          <w:tcPr>
            <w:tcW w:type="dxa" w:w="1337"/>
          </w:tcPr>
          <w:p>
            <w:pPr>
              <w:jc w:val="center"/>
            </w:pPr>
            <w:r>
              <w:rPr>
                <w:rFonts w:ascii="Times New Roman" w:hAnsi="Times New Roman"/>
                <w:sz w:val="18"/>
              </w:rPr>
              <w:t>2.83</w:t>
            </w:r>
          </w:p>
        </w:tc>
        <w:tc>
          <w:tcPr>
            <w:tcW w:type="dxa" w:w="1337"/>
          </w:tcPr>
          <w:p>
            <w:pPr>
              <w:jc w:val="center"/>
            </w:pPr>
            <w:r>
              <w:rPr>
                <w:rFonts w:ascii="Times New Roman" w:hAnsi="Times New Roman"/>
                <w:sz w:val="18"/>
              </w:rPr>
              <w:t>4994</w:t>
            </w:r>
          </w:p>
        </w:tc>
        <w:tc>
          <w:tcPr>
            <w:tcW w:type="dxa" w:w="1337"/>
          </w:tcPr>
          <w:p>
            <w:pPr>
              <w:jc w:val="center"/>
            </w:pPr>
            <w:r>
              <w:rPr>
                <w:rFonts w:ascii="Times New Roman" w:hAnsi="Times New Roman"/>
                <w:sz w:val="18"/>
              </w:rPr>
              <w:t>4300</w:t>
            </w:r>
          </w:p>
        </w:tc>
      </w:tr>
      <w:tr>
        <w:tc>
          <w:tcPr>
            <w:tcW w:type="dxa" w:w="1337"/>
          </w:tcPr>
          <w:p>
            <w:r>
              <w:rPr>
                <w:rFonts w:ascii="Times New Roman" w:hAnsi="Times New Roman"/>
                <w:sz w:val="18"/>
              </w:rPr>
              <w:t>Orthopaedics</w:t>
            </w:r>
          </w:p>
        </w:tc>
        <w:tc>
          <w:tcPr>
            <w:tcW w:type="dxa" w:w="1337"/>
          </w:tcPr>
          <w:p>
            <w:pPr>
              <w:jc w:val="center"/>
            </w:pPr>
            <w:r>
              <w:rPr>
                <w:rFonts w:ascii="Times New Roman" w:hAnsi="Times New Roman"/>
                <w:sz w:val="18"/>
              </w:rPr>
              <w:t>19273</w:t>
            </w:r>
          </w:p>
        </w:tc>
        <w:tc>
          <w:tcPr>
            <w:tcW w:type="dxa" w:w="1337"/>
          </w:tcPr>
          <w:p>
            <w:pPr>
              <w:jc w:val="center"/>
            </w:pPr>
            <w:r>
              <w:rPr>
                <w:rFonts w:ascii="Times New Roman" w:hAnsi="Times New Roman"/>
                <w:sz w:val="18"/>
              </w:rPr>
              <w:t>22630</w:t>
            </w:r>
          </w:p>
        </w:tc>
        <w:tc>
          <w:tcPr>
            <w:tcW w:type="dxa" w:w="1337"/>
          </w:tcPr>
          <w:p>
            <w:pPr>
              <w:jc w:val="center"/>
            </w:pPr>
            <w:r>
              <w:rPr>
                <w:rFonts w:ascii="Times New Roman" w:hAnsi="Times New Roman"/>
                <w:sz w:val="18"/>
              </w:rPr>
              <w:t>5.60</w:t>
            </w:r>
          </w:p>
        </w:tc>
        <w:tc>
          <w:tcPr>
            <w:tcW w:type="dxa" w:w="1337"/>
          </w:tcPr>
          <w:p>
            <w:pPr>
              <w:jc w:val="center"/>
            </w:pPr>
            <w:r>
              <w:rPr>
                <w:rFonts w:ascii="Times New Roman" w:hAnsi="Times New Roman"/>
                <w:sz w:val="18"/>
              </w:rPr>
              <w:t>2.87</w:t>
            </w:r>
          </w:p>
        </w:tc>
        <w:tc>
          <w:tcPr>
            <w:tcW w:type="dxa" w:w="1337"/>
          </w:tcPr>
          <w:p>
            <w:pPr>
              <w:jc w:val="center"/>
            </w:pPr>
            <w:r>
              <w:rPr>
                <w:rFonts w:ascii="Times New Roman" w:hAnsi="Times New Roman"/>
                <w:sz w:val="18"/>
              </w:rPr>
              <w:t>5094</w:t>
            </w:r>
          </w:p>
        </w:tc>
        <w:tc>
          <w:tcPr>
            <w:tcW w:type="dxa" w:w="1337"/>
          </w:tcPr>
          <w:p>
            <w:pPr>
              <w:jc w:val="center"/>
            </w:pPr>
            <w:r>
              <w:rPr>
                <w:rFonts w:ascii="Times New Roman" w:hAnsi="Times New Roman"/>
                <w:sz w:val="18"/>
              </w:rPr>
              <w:t>4844</w:t>
            </w:r>
          </w:p>
        </w:tc>
      </w:tr>
      <w:tr>
        <w:tc>
          <w:tcPr>
            <w:tcW w:type="dxa" w:w="1337"/>
          </w:tcPr>
          <w:p>
            <w:r>
              <w:rPr>
                <w:rFonts w:ascii="Times New Roman" w:hAnsi="Times New Roman"/>
                <w:sz w:val="18"/>
              </w:rPr>
              <w:t>Plastic surgery</w:t>
            </w:r>
          </w:p>
        </w:tc>
        <w:tc>
          <w:tcPr>
            <w:tcW w:type="dxa" w:w="1337"/>
          </w:tcPr>
          <w:p>
            <w:pPr>
              <w:jc w:val="center"/>
            </w:pPr>
            <w:r>
              <w:rPr>
                <w:rFonts w:ascii="Times New Roman" w:hAnsi="Times New Roman"/>
                <w:sz w:val="18"/>
              </w:rPr>
              <w:t>2520</w:t>
            </w:r>
          </w:p>
        </w:tc>
        <w:tc>
          <w:tcPr>
            <w:tcW w:type="dxa" w:w="1337"/>
          </w:tcPr>
          <w:p>
            <w:pPr>
              <w:jc w:val="center"/>
            </w:pPr>
            <w:r>
              <w:rPr>
                <w:rFonts w:ascii="Times New Roman" w:hAnsi="Times New Roman"/>
                <w:sz w:val="18"/>
              </w:rPr>
              <w:t>5074</w:t>
            </w:r>
          </w:p>
        </w:tc>
        <w:tc>
          <w:tcPr>
            <w:tcW w:type="dxa" w:w="1337"/>
          </w:tcPr>
          <w:p>
            <w:pPr>
              <w:jc w:val="center"/>
            </w:pPr>
            <w:r>
              <w:rPr>
                <w:rFonts w:ascii="Times New Roman" w:hAnsi="Times New Roman"/>
                <w:sz w:val="18"/>
              </w:rPr>
              <w:t>7.14</w:t>
            </w:r>
          </w:p>
        </w:tc>
        <w:tc>
          <w:tcPr>
            <w:tcW w:type="dxa" w:w="1337"/>
          </w:tcPr>
          <w:p>
            <w:pPr>
              <w:jc w:val="center"/>
            </w:pPr>
            <w:r>
              <w:rPr>
                <w:rFonts w:ascii="Times New Roman" w:hAnsi="Times New Roman"/>
                <w:sz w:val="18"/>
              </w:rPr>
              <w:t>8.28</w:t>
            </w:r>
          </w:p>
        </w:tc>
        <w:tc>
          <w:tcPr>
            <w:tcW w:type="dxa" w:w="1337"/>
          </w:tcPr>
          <w:p>
            <w:pPr>
              <w:jc w:val="center"/>
            </w:pPr>
            <w:r>
              <w:rPr>
                <w:rFonts w:ascii="Times New Roman" w:hAnsi="Times New Roman"/>
                <w:sz w:val="18"/>
              </w:rPr>
              <w:t>1090</w:t>
            </w:r>
          </w:p>
        </w:tc>
        <w:tc>
          <w:tcPr>
            <w:tcW w:type="dxa" w:w="1337"/>
          </w:tcPr>
          <w:p>
            <w:pPr>
              <w:jc w:val="center"/>
            </w:pPr>
            <w:r>
              <w:rPr>
                <w:rFonts w:ascii="Times New Roman" w:hAnsi="Times New Roman"/>
                <w:sz w:val="18"/>
              </w:rPr>
              <w:t>1475</w:t>
            </w:r>
          </w:p>
        </w:tc>
      </w:tr>
      <w:tr>
        <w:tc>
          <w:tcPr>
            <w:tcW w:type="dxa" w:w="1337"/>
          </w:tcPr>
          <w:p>
            <w:r>
              <w:rPr>
                <w:rFonts w:ascii="Times New Roman" w:hAnsi="Times New Roman"/>
                <w:sz w:val="18"/>
              </w:rPr>
              <w:t>Obstetrics &amp; gynaecology</w:t>
            </w:r>
          </w:p>
        </w:tc>
        <w:tc>
          <w:tcPr>
            <w:tcW w:type="dxa" w:w="1337"/>
          </w:tcPr>
          <w:p>
            <w:pPr>
              <w:jc w:val="center"/>
            </w:pPr>
            <w:r>
              <w:rPr>
                <w:rFonts w:ascii="Times New Roman" w:hAnsi="Times New Roman"/>
                <w:sz w:val="18"/>
              </w:rPr>
              <w:t>11961</w:t>
            </w:r>
          </w:p>
        </w:tc>
        <w:tc>
          <w:tcPr>
            <w:tcW w:type="dxa" w:w="1337"/>
          </w:tcPr>
          <w:p>
            <w:pPr>
              <w:jc w:val="center"/>
            </w:pPr>
            <w:r>
              <w:rPr>
                <w:rFonts w:ascii="Times New Roman" w:hAnsi="Times New Roman"/>
                <w:sz w:val="18"/>
              </w:rPr>
              <w:t>13908</w:t>
            </w:r>
          </w:p>
        </w:tc>
        <w:tc>
          <w:tcPr>
            <w:tcW w:type="dxa" w:w="1337"/>
          </w:tcPr>
          <w:p>
            <w:pPr>
              <w:jc w:val="center"/>
            </w:pPr>
            <w:r>
              <w:rPr>
                <w:rFonts w:ascii="Times New Roman" w:hAnsi="Times New Roman"/>
                <w:sz w:val="18"/>
              </w:rPr>
              <w:t>8.28</w:t>
            </w:r>
          </w:p>
        </w:tc>
        <w:tc>
          <w:tcPr>
            <w:tcW w:type="dxa" w:w="1337"/>
          </w:tcPr>
          <w:p>
            <w:pPr>
              <w:jc w:val="center"/>
            </w:pPr>
            <w:r>
              <w:rPr>
                <w:rFonts w:ascii="Times New Roman" w:hAnsi="Times New Roman"/>
                <w:sz w:val="18"/>
              </w:rPr>
              <w:t>2.23</w:t>
            </w:r>
          </w:p>
        </w:tc>
        <w:tc>
          <w:tcPr>
            <w:tcW w:type="dxa" w:w="1337"/>
          </w:tcPr>
          <w:p>
            <w:pPr>
              <w:jc w:val="center"/>
            </w:pPr>
            <w:r>
              <w:rPr>
                <w:rFonts w:ascii="Times New Roman" w:hAnsi="Times New Roman"/>
                <w:sz w:val="18"/>
              </w:rPr>
              <w:t>1319</w:t>
            </w:r>
          </w:p>
        </w:tc>
        <w:tc>
          <w:tcPr>
            <w:tcW w:type="dxa" w:w="1337"/>
          </w:tcPr>
          <w:p>
            <w:pPr>
              <w:jc w:val="center"/>
            </w:pPr>
            <w:r>
              <w:rPr>
                <w:rFonts w:ascii="Times New Roman" w:hAnsi="Times New Roman"/>
                <w:sz w:val="18"/>
              </w:rPr>
              <w:t>1052</w:t>
            </w:r>
          </w:p>
        </w:tc>
      </w:tr>
      <w:tr>
        <w:tc>
          <w:tcPr>
            <w:tcW w:type="dxa" w:w="1337"/>
          </w:tcPr>
          <w:p>
            <w:r>
              <w:rPr>
                <w:rFonts w:ascii="Times New Roman" w:hAnsi="Times New Roman"/>
                <w:sz w:val="18"/>
              </w:rPr>
              <w:t>Paediatrics</w:t>
            </w:r>
          </w:p>
        </w:tc>
        <w:tc>
          <w:tcPr>
            <w:tcW w:type="dxa" w:w="1337"/>
          </w:tcPr>
          <w:p>
            <w:pPr>
              <w:jc w:val="center"/>
            </w:pPr>
            <w:r>
              <w:rPr>
                <w:rFonts w:ascii="Times New Roman" w:hAnsi="Times New Roman"/>
                <w:sz w:val="18"/>
              </w:rPr>
              <w:t>15236</w:t>
            </w:r>
          </w:p>
        </w:tc>
        <w:tc>
          <w:tcPr>
            <w:tcW w:type="dxa" w:w="1337"/>
          </w:tcPr>
          <w:p>
            <w:pPr>
              <w:jc w:val="center"/>
            </w:pPr>
            <w:r>
              <w:rPr>
                <w:rFonts w:ascii="Times New Roman" w:hAnsi="Times New Roman"/>
                <w:sz w:val="18"/>
              </w:rPr>
              <w:t>18009</w:t>
            </w:r>
          </w:p>
        </w:tc>
        <w:tc>
          <w:tcPr>
            <w:tcW w:type="dxa" w:w="1337"/>
          </w:tcPr>
          <w:p>
            <w:pPr>
              <w:jc w:val="center"/>
            </w:pPr>
            <w:r>
              <w:rPr>
                <w:rFonts w:ascii="Times New Roman" w:hAnsi="Times New Roman"/>
                <w:sz w:val="18"/>
              </w:rPr>
              <w:t>1.44</w:t>
            </w:r>
          </w:p>
        </w:tc>
        <w:tc>
          <w:tcPr>
            <w:tcW w:type="dxa" w:w="1337"/>
          </w:tcPr>
          <w:p>
            <w:pPr>
              <w:jc w:val="center"/>
            </w:pPr>
            <w:r>
              <w:rPr>
                <w:rFonts w:ascii="Times New Roman" w:hAnsi="Times New Roman"/>
                <w:sz w:val="18"/>
              </w:rPr>
              <w:t>0.44</w:t>
            </w:r>
          </w:p>
        </w:tc>
        <w:tc>
          <w:tcPr>
            <w:tcW w:type="dxa" w:w="1337"/>
          </w:tcPr>
          <w:p>
            <w:pPr>
              <w:jc w:val="center"/>
            </w:pPr>
            <w:r>
              <w:rPr>
                <w:rFonts w:ascii="Times New Roman" w:hAnsi="Times New Roman"/>
                <w:sz w:val="18"/>
              </w:rPr>
              <w:t>2932</w:t>
            </w:r>
          </w:p>
        </w:tc>
        <w:tc>
          <w:tcPr>
            <w:tcW w:type="dxa" w:w="1337"/>
          </w:tcPr>
          <w:p>
            <w:pPr>
              <w:jc w:val="center"/>
            </w:pPr>
            <w:r>
              <w:rPr>
                <w:rFonts w:ascii="Times New Roman" w:hAnsi="Times New Roman"/>
                <w:sz w:val="18"/>
              </w:rPr>
              <w:t>2446</w:t>
            </w:r>
          </w:p>
        </w:tc>
      </w:tr>
      <w:tr>
        <w:tc>
          <w:tcPr>
            <w:tcW w:type="dxa" w:w="1337"/>
          </w:tcPr>
          <w:p>
            <w:r>
              <w:rPr>
                <w:rFonts w:ascii="Times New Roman" w:hAnsi="Times New Roman"/>
                <w:sz w:val="18"/>
              </w:rPr>
              <w:t>Psychiatry</w:t>
            </w:r>
          </w:p>
        </w:tc>
        <w:tc>
          <w:tcPr>
            <w:tcW w:type="dxa" w:w="1337"/>
          </w:tcPr>
          <w:p>
            <w:pPr>
              <w:jc w:val="center"/>
            </w:pPr>
            <w:r>
              <w:rPr>
                <w:rFonts w:ascii="Times New Roman" w:hAnsi="Times New Roman"/>
                <w:sz w:val="18"/>
              </w:rPr>
              <w:t>13534</w:t>
            </w:r>
          </w:p>
        </w:tc>
        <w:tc>
          <w:tcPr>
            <w:tcW w:type="dxa" w:w="1337"/>
          </w:tcPr>
          <w:p>
            <w:pPr>
              <w:jc w:val="center"/>
            </w:pPr>
            <w:r>
              <w:rPr>
                <w:rFonts w:ascii="Times New Roman" w:hAnsi="Times New Roman"/>
                <w:sz w:val="18"/>
              </w:rPr>
              <w:t>17259</w:t>
            </w:r>
          </w:p>
        </w:tc>
        <w:tc>
          <w:tcPr>
            <w:tcW w:type="dxa" w:w="1337"/>
          </w:tcPr>
          <w:p>
            <w:pPr>
              <w:jc w:val="center"/>
            </w:pPr>
            <w:r>
              <w:rPr>
                <w:rFonts w:ascii="Times New Roman" w:hAnsi="Times New Roman"/>
                <w:sz w:val="18"/>
              </w:rPr>
              <w:t>2.22</w:t>
            </w:r>
          </w:p>
        </w:tc>
        <w:tc>
          <w:tcPr>
            <w:tcW w:type="dxa" w:w="1337"/>
          </w:tcPr>
          <w:p>
            <w:pPr>
              <w:jc w:val="center"/>
            </w:pPr>
            <w:r>
              <w:rPr>
                <w:rFonts w:ascii="Times New Roman" w:hAnsi="Times New Roman"/>
                <w:sz w:val="18"/>
              </w:rPr>
              <w:t>1.80</w:t>
            </w:r>
          </w:p>
        </w:tc>
        <w:tc>
          <w:tcPr>
            <w:tcW w:type="dxa" w:w="1337"/>
          </w:tcPr>
          <w:p>
            <w:pPr>
              <w:jc w:val="center"/>
            </w:pPr>
            <w:r>
              <w:rPr>
                <w:rFonts w:ascii="Times New Roman" w:hAnsi="Times New Roman"/>
                <w:sz w:val="18"/>
              </w:rPr>
              <w:t>2618</w:t>
            </w:r>
          </w:p>
        </w:tc>
        <w:tc>
          <w:tcPr>
            <w:tcW w:type="dxa" w:w="1337"/>
          </w:tcPr>
          <w:p>
            <w:pPr>
              <w:jc w:val="center"/>
            </w:pPr>
            <w:r>
              <w:rPr>
                <w:rFonts w:ascii="Times New Roman" w:hAnsi="Times New Roman"/>
                <w:sz w:val="18"/>
              </w:rPr>
              <w:t>2881</w:t>
            </w:r>
          </w:p>
        </w:tc>
      </w:tr>
      <w:tr>
        <w:tc>
          <w:tcPr>
            <w:tcW w:type="dxa" w:w="1337"/>
          </w:tcPr>
          <w:p>
            <w:r>
              <w:rPr>
                <w:rFonts w:ascii="Times New Roman" w:hAnsi="Times New Roman"/>
                <w:sz w:val="18"/>
              </w:rPr>
              <w:t>Ophthalmology</w:t>
            </w:r>
          </w:p>
        </w:tc>
        <w:tc>
          <w:tcPr>
            <w:tcW w:type="dxa" w:w="1337"/>
          </w:tcPr>
          <w:p>
            <w:pPr>
              <w:jc w:val="center"/>
            </w:pPr>
            <w:r>
              <w:rPr>
                <w:rFonts w:ascii="Times New Roman" w:hAnsi="Times New Roman"/>
                <w:sz w:val="18"/>
              </w:rPr>
              <w:t>12627</w:t>
            </w:r>
          </w:p>
        </w:tc>
        <w:tc>
          <w:tcPr>
            <w:tcW w:type="dxa" w:w="1337"/>
          </w:tcPr>
          <w:p>
            <w:pPr>
              <w:jc w:val="center"/>
            </w:pPr>
            <w:r>
              <w:rPr>
                <w:rFonts w:ascii="Times New Roman" w:hAnsi="Times New Roman"/>
                <w:sz w:val="18"/>
              </w:rPr>
              <w:t>13436</w:t>
            </w:r>
          </w:p>
        </w:tc>
        <w:tc>
          <w:tcPr>
            <w:tcW w:type="dxa" w:w="1337"/>
          </w:tcPr>
          <w:p>
            <w:pPr>
              <w:jc w:val="center"/>
            </w:pPr>
            <w:r>
              <w:rPr>
                <w:rFonts w:ascii="Times New Roman" w:hAnsi="Times New Roman"/>
                <w:sz w:val="18"/>
              </w:rPr>
              <w:t>2.14</w:t>
            </w:r>
          </w:p>
        </w:tc>
        <w:tc>
          <w:tcPr>
            <w:tcW w:type="dxa" w:w="1337"/>
          </w:tcPr>
          <w:p>
            <w:pPr>
              <w:jc w:val="center"/>
            </w:pPr>
            <w:r>
              <w:rPr>
                <w:rFonts w:ascii="Times New Roman" w:hAnsi="Times New Roman"/>
                <w:sz w:val="18"/>
              </w:rPr>
              <w:t>1.04</w:t>
            </w:r>
          </w:p>
        </w:tc>
        <w:tc>
          <w:tcPr>
            <w:tcW w:type="dxa" w:w="1337"/>
          </w:tcPr>
          <w:p>
            <w:pPr>
              <w:jc w:val="center"/>
            </w:pPr>
            <w:r>
              <w:rPr>
                <w:rFonts w:ascii="Times New Roman" w:hAnsi="Times New Roman"/>
                <w:sz w:val="18"/>
              </w:rPr>
              <w:t>2501</w:t>
            </w:r>
          </w:p>
        </w:tc>
        <w:tc>
          <w:tcPr>
            <w:tcW w:type="dxa" w:w="1337"/>
          </w:tcPr>
          <w:p>
            <w:pPr>
              <w:jc w:val="center"/>
            </w:pPr>
            <w:r>
              <w:rPr>
                <w:rFonts w:ascii="Times New Roman" w:hAnsi="Times New Roman"/>
                <w:sz w:val="18"/>
              </w:rPr>
              <w:t>2310</w:t>
            </w:r>
          </w:p>
        </w:tc>
      </w:tr>
      <w:tr>
        <w:tc>
          <w:tcPr>
            <w:tcW w:type="dxa" w:w="1337"/>
          </w:tcPr>
          <w:p>
            <w:r>
              <w:rPr>
                <w:rFonts w:ascii="Times New Roman" w:hAnsi="Times New Roman"/>
                <w:sz w:val="18"/>
              </w:rPr>
              <w:t>Otolaryngology</w:t>
            </w:r>
          </w:p>
        </w:tc>
        <w:tc>
          <w:tcPr>
            <w:tcW w:type="dxa" w:w="1337"/>
          </w:tcPr>
          <w:p>
            <w:pPr>
              <w:jc w:val="center"/>
            </w:pPr>
            <w:r>
              <w:rPr>
                <w:rFonts w:ascii="Times New Roman" w:hAnsi="Times New Roman"/>
                <w:sz w:val="18"/>
              </w:rPr>
              <w:t>8936</w:t>
            </w:r>
          </w:p>
        </w:tc>
        <w:tc>
          <w:tcPr>
            <w:tcW w:type="dxa" w:w="1337"/>
          </w:tcPr>
          <w:p>
            <w:pPr>
              <w:jc w:val="center"/>
            </w:pPr>
            <w:r>
              <w:rPr>
                <w:rFonts w:ascii="Times New Roman" w:hAnsi="Times New Roman"/>
                <w:sz w:val="18"/>
              </w:rPr>
              <w:t>9330</w:t>
            </w:r>
          </w:p>
        </w:tc>
        <w:tc>
          <w:tcPr>
            <w:tcW w:type="dxa" w:w="1337"/>
          </w:tcPr>
          <w:p>
            <w:pPr>
              <w:jc w:val="center"/>
            </w:pPr>
            <w:r>
              <w:rPr>
                <w:rFonts w:ascii="Times New Roman" w:hAnsi="Times New Roman"/>
                <w:sz w:val="18"/>
              </w:rPr>
              <w:t>2.13</w:t>
            </w:r>
          </w:p>
        </w:tc>
        <w:tc>
          <w:tcPr>
            <w:tcW w:type="dxa" w:w="1337"/>
          </w:tcPr>
          <w:p>
            <w:pPr>
              <w:jc w:val="center"/>
            </w:pPr>
            <w:r>
              <w:rPr>
                <w:rFonts w:ascii="Times New Roman" w:hAnsi="Times New Roman"/>
                <w:sz w:val="18"/>
              </w:rPr>
              <w:t>1.39</w:t>
            </w:r>
          </w:p>
        </w:tc>
        <w:tc>
          <w:tcPr>
            <w:tcW w:type="dxa" w:w="1337"/>
          </w:tcPr>
          <w:p>
            <w:pPr>
              <w:jc w:val="center"/>
            </w:pPr>
            <w:r>
              <w:rPr>
                <w:rFonts w:ascii="Times New Roman" w:hAnsi="Times New Roman"/>
                <w:sz w:val="18"/>
              </w:rPr>
              <w:t>2039</w:t>
            </w:r>
          </w:p>
        </w:tc>
        <w:tc>
          <w:tcPr>
            <w:tcW w:type="dxa" w:w="1337"/>
          </w:tcPr>
          <w:p>
            <w:pPr>
              <w:jc w:val="center"/>
            </w:pPr>
            <w:r>
              <w:rPr>
                <w:rFonts w:ascii="Times New Roman" w:hAnsi="Times New Roman"/>
                <w:sz w:val="18"/>
              </w:rPr>
              <w:t>1937</w:t>
            </w:r>
          </w:p>
        </w:tc>
      </w:tr>
      <w:tr>
        <w:tc>
          <w:tcPr>
            <w:tcW w:type="dxa" w:w="1337"/>
          </w:tcPr>
          <w:p>
            <w:r>
              <w:rPr>
                <w:rFonts w:ascii="Times New Roman" w:hAnsi="Times New Roman"/>
                <w:sz w:val="18"/>
              </w:rPr>
              <w:t>Urology</w:t>
            </w:r>
          </w:p>
        </w:tc>
        <w:tc>
          <w:tcPr>
            <w:tcW w:type="dxa" w:w="1337"/>
          </w:tcPr>
          <w:p>
            <w:pPr>
              <w:jc w:val="center"/>
            </w:pPr>
            <w:r>
              <w:rPr>
                <w:rFonts w:ascii="Times New Roman" w:hAnsi="Times New Roman"/>
                <w:sz w:val="18"/>
              </w:rPr>
              <w:t>6324</w:t>
            </w:r>
          </w:p>
        </w:tc>
        <w:tc>
          <w:tcPr>
            <w:tcW w:type="dxa" w:w="1337"/>
          </w:tcPr>
          <w:p>
            <w:pPr>
              <w:jc w:val="center"/>
            </w:pPr>
            <w:r>
              <w:rPr>
                <w:rFonts w:ascii="Times New Roman" w:hAnsi="Times New Roman"/>
                <w:sz w:val="18"/>
              </w:rPr>
              <w:t>8069</w:t>
            </w:r>
          </w:p>
        </w:tc>
        <w:tc>
          <w:tcPr>
            <w:tcW w:type="dxa" w:w="1337"/>
          </w:tcPr>
          <w:p>
            <w:pPr>
              <w:jc w:val="center"/>
            </w:pPr>
            <w:r>
              <w:rPr>
                <w:rFonts w:ascii="Times New Roman" w:hAnsi="Times New Roman"/>
                <w:sz w:val="18"/>
              </w:rPr>
              <w:t>2.85</w:t>
            </w:r>
          </w:p>
        </w:tc>
        <w:tc>
          <w:tcPr>
            <w:tcW w:type="dxa" w:w="1337"/>
          </w:tcPr>
          <w:p>
            <w:pPr>
              <w:jc w:val="center"/>
            </w:pPr>
            <w:r>
              <w:rPr>
                <w:rFonts w:ascii="Times New Roman" w:hAnsi="Times New Roman"/>
                <w:sz w:val="18"/>
              </w:rPr>
              <w:t>2.11</w:t>
            </w:r>
          </w:p>
        </w:tc>
        <w:tc>
          <w:tcPr>
            <w:tcW w:type="dxa" w:w="1337"/>
          </w:tcPr>
          <w:p>
            <w:pPr>
              <w:jc w:val="center"/>
            </w:pPr>
            <w:r>
              <w:rPr>
                <w:rFonts w:ascii="Times New Roman" w:hAnsi="Times New Roman"/>
                <w:sz w:val="18"/>
              </w:rPr>
              <w:t>2799</w:t>
            </w:r>
          </w:p>
        </w:tc>
        <w:tc>
          <w:tcPr>
            <w:tcW w:type="dxa" w:w="1337"/>
          </w:tcPr>
          <w:p>
            <w:pPr>
              <w:jc w:val="center"/>
            </w:pPr>
            <w:r>
              <w:rPr>
                <w:rFonts w:ascii="Times New Roman" w:hAnsi="Times New Roman"/>
                <w:sz w:val="18"/>
              </w:rPr>
              <w:t>2893</w:t>
            </w:r>
          </w:p>
        </w:tc>
      </w:tr>
      <w:tr>
        <w:tc>
          <w:tcPr>
            <w:tcW w:type="dxa" w:w="1337"/>
          </w:tcPr>
          <w:p>
            <w:r>
              <w:rPr>
                <w:rFonts w:ascii="Times New Roman" w:hAnsi="Times New Roman"/>
                <w:sz w:val="18"/>
              </w:rPr>
              <w:t>Dermatology</w:t>
            </w:r>
          </w:p>
        </w:tc>
        <w:tc>
          <w:tcPr>
            <w:tcW w:type="dxa" w:w="1337"/>
          </w:tcPr>
          <w:p>
            <w:pPr>
              <w:jc w:val="center"/>
            </w:pPr>
            <w:r>
              <w:rPr>
                <w:rFonts w:ascii="Times New Roman" w:hAnsi="Times New Roman"/>
                <w:sz w:val="18"/>
              </w:rPr>
              <w:t>8214</w:t>
            </w:r>
          </w:p>
        </w:tc>
        <w:tc>
          <w:tcPr>
            <w:tcW w:type="dxa" w:w="1337"/>
          </w:tcPr>
          <w:p>
            <w:pPr>
              <w:jc w:val="center"/>
            </w:pPr>
            <w:r>
              <w:rPr>
                <w:rFonts w:ascii="Times New Roman" w:hAnsi="Times New Roman"/>
                <w:sz w:val="18"/>
              </w:rPr>
              <w:t>10043</w:t>
            </w:r>
          </w:p>
        </w:tc>
        <w:tc>
          <w:tcPr>
            <w:tcW w:type="dxa" w:w="1337"/>
          </w:tcPr>
          <w:p>
            <w:pPr>
              <w:jc w:val="center"/>
            </w:pPr>
            <w:r>
              <w:rPr>
                <w:rFonts w:ascii="Times New Roman" w:hAnsi="Times New Roman"/>
                <w:sz w:val="18"/>
              </w:rPr>
              <w:t>1.10</w:t>
            </w:r>
          </w:p>
        </w:tc>
        <w:tc>
          <w:tcPr>
            <w:tcW w:type="dxa" w:w="1337"/>
          </w:tcPr>
          <w:p>
            <w:pPr>
              <w:jc w:val="center"/>
            </w:pPr>
            <w:r>
              <w:rPr>
                <w:rFonts w:ascii="Times New Roman" w:hAnsi="Times New Roman"/>
                <w:sz w:val="18"/>
              </w:rPr>
              <w:t>1.39</w:t>
            </w:r>
          </w:p>
        </w:tc>
        <w:tc>
          <w:tcPr>
            <w:tcW w:type="dxa" w:w="1337"/>
          </w:tcPr>
          <w:p>
            <w:pPr>
              <w:jc w:val="center"/>
            </w:pPr>
            <w:r>
              <w:rPr>
                <w:rFonts w:ascii="Times New Roman" w:hAnsi="Times New Roman"/>
                <w:sz w:val="18"/>
              </w:rPr>
              <w:t>3040</w:t>
            </w:r>
          </w:p>
        </w:tc>
        <w:tc>
          <w:tcPr>
            <w:tcW w:type="dxa" w:w="1337"/>
          </w:tcPr>
          <w:p>
            <w:pPr>
              <w:jc w:val="center"/>
            </w:pPr>
            <w:r>
              <w:rPr>
                <w:rFonts w:ascii="Times New Roman" w:hAnsi="Times New Roman"/>
                <w:sz w:val="18"/>
              </w:rPr>
              <w:t>3066</w:t>
            </w:r>
          </w:p>
        </w:tc>
      </w:tr>
      <w:tr>
        <w:tc>
          <w:tcPr>
            <w:tcW w:type="dxa" w:w="1337"/>
          </w:tcPr>
          <w:p>
            <w:r>
              <w:rPr>
                <w:rFonts w:ascii="Times New Roman" w:hAnsi="Times New Roman"/>
                <w:sz w:val="18"/>
              </w:rPr>
              <w:t>Anaesthesiology</w:t>
            </w:r>
          </w:p>
        </w:tc>
        <w:tc>
          <w:tcPr>
            <w:tcW w:type="dxa" w:w="1337"/>
          </w:tcPr>
          <w:p>
            <w:pPr>
              <w:jc w:val="center"/>
            </w:pPr>
            <w:r>
              <w:rPr>
                <w:rFonts w:ascii="Times New Roman" w:hAnsi="Times New Roman"/>
                <w:sz w:val="18"/>
              </w:rPr>
              <w:t>7067</w:t>
            </w:r>
          </w:p>
        </w:tc>
        <w:tc>
          <w:tcPr>
            <w:tcW w:type="dxa" w:w="1337"/>
          </w:tcPr>
          <w:p>
            <w:pPr>
              <w:jc w:val="center"/>
            </w:pPr>
            <w:r>
              <w:rPr>
                <w:rFonts w:ascii="Times New Roman" w:hAnsi="Times New Roman"/>
                <w:sz w:val="18"/>
              </w:rPr>
              <w:t>10628</w:t>
            </w:r>
          </w:p>
        </w:tc>
        <w:tc>
          <w:tcPr>
            <w:tcW w:type="dxa" w:w="1337"/>
          </w:tcPr>
          <w:p>
            <w:pPr>
              <w:jc w:val="center"/>
            </w:pPr>
            <w:r>
              <w:rPr>
                <w:rFonts w:ascii="Times New Roman" w:hAnsi="Times New Roman"/>
                <w:sz w:val="18"/>
              </w:rPr>
              <w:t>1.13</w:t>
            </w:r>
          </w:p>
        </w:tc>
        <w:tc>
          <w:tcPr>
            <w:tcW w:type="dxa" w:w="1337"/>
          </w:tcPr>
          <w:p>
            <w:pPr>
              <w:jc w:val="center"/>
            </w:pPr>
            <w:r>
              <w:rPr>
                <w:rFonts w:ascii="Times New Roman" w:hAnsi="Times New Roman"/>
                <w:sz w:val="18"/>
              </w:rPr>
              <w:t>0.38</w:t>
            </w:r>
          </w:p>
        </w:tc>
        <w:tc>
          <w:tcPr>
            <w:tcW w:type="dxa" w:w="1337"/>
          </w:tcPr>
          <w:p>
            <w:pPr>
              <w:jc w:val="center"/>
            </w:pPr>
            <w:r>
              <w:rPr>
                <w:rFonts w:ascii="Times New Roman" w:hAnsi="Times New Roman"/>
                <w:sz w:val="18"/>
              </w:rPr>
              <w:t>2525</w:t>
            </w:r>
          </w:p>
        </w:tc>
        <w:tc>
          <w:tcPr>
            <w:tcW w:type="dxa" w:w="1337"/>
          </w:tcPr>
          <w:p>
            <w:pPr>
              <w:jc w:val="center"/>
            </w:pPr>
            <w:r>
              <w:rPr>
                <w:rFonts w:ascii="Times New Roman" w:hAnsi="Times New Roman"/>
                <w:sz w:val="18"/>
              </w:rPr>
              <w:t>2798</w:t>
            </w:r>
          </w:p>
        </w:tc>
      </w:tr>
    </w:tbl>
    <w:p/>
    <w:p>
      <w:pPr>
        <w:pStyle w:val="Heading2"/>
      </w:pPr>
      <w:r>
        <w:rPr>
          <w:rFonts w:ascii="Times New Roman" w:hAnsi="Times New Roman"/>
          <w:color w:val="000000"/>
        </w:rPr>
        <w:t>Primary association and equivalence</w:t>
      </w:r>
    </w:p>
    <w:p>
      <w:pPr>
        <w:spacing w:line="480" w:lineRule="auto" w:after="120"/>
      </w:pPr>
      <w:r>
        <w:rPr>
          <w:rFonts w:ascii="Times New Roman" w:hAnsi="Times New Roman"/>
          <w:b w:val="0"/>
          <w:i w:val="0"/>
          <w:sz w:val="24"/>
        </w:rPr>
        <w:t>The lagged litigation rate was not associated with biennial physician growth (coefficient -0.0009; 95% CI -0.0040 to +0.0021; p=0.54; n=96) or with hospital growth (coefficient +0.0003; p=0.90). Equivalence testing (Figure 1; Table 2) showed that a 1-SD higher litigation rate changed biennial physician growth by less than ±1% (TOST p=0.023; point estimate -0.21% with 90% CI -0.84% to +0.42%), and hospital growth by less than ±2% (p=0.002). Thus the data are consistent with, and statistically support, the absence of a policy-relevant effect. Detailed TOST results by margin are reported in Supplementary Table 2.</w:t>
      </w:r>
    </w:p>
    <w:p>
      <w:pPr>
        <w:spacing w:before="280" w:after="120"/>
      </w:pPr>
      <w:r>
        <w:rPr>
          <w:rFonts w:ascii="Times New Roman" w:hAnsi="Times New Roman"/>
          <w:b/>
          <w:sz w:val="20"/>
        </w:rPr>
        <w:t>Figure 1. Equivalence (TOST) of the litigation-rate effect against ±1% and ±2% margins; horizontal bars are 90% confidence intervals.</w:t>
      </w:r>
    </w:p>
    <w:p>
      <w:pPr>
        <w:jc w:val="center"/>
      </w:pPr>
      <w:r>
        <w:drawing>
          <wp:inline xmlns:a="http://schemas.openxmlformats.org/drawingml/2006/main" xmlns:pic="http://schemas.openxmlformats.org/drawingml/2006/picture">
            <wp:extent cx="5303520" cy="2357120"/>
            <wp:docPr id="1" name="Picture 1"/>
            <wp:cNvGraphicFramePr>
              <a:graphicFrameLocks noChangeAspect="1"/>
            </wp:cNvGraphicFramePr>
            <a:graphic>
              <a:graphicData uri="http://schemas.openxmlformats.org/drawingml/2006/picture">
                <pic:pic>
                  <pic:nvPicPr>
                    <pic:cNvPr id="0" name="hp_Figure_1.png"/>
                    <pic:cNvPicPr/>
                  </pic:nvPicPr>
                  <pic:blipFill>
                    <a:blip r:embed="rId9"/>
                    <a:stretch>
                      <a:fillRect/>
                    </a:stretch>
                  </pic:blipFill>
                  <pic:spPr>
                    <a:xfrm>
                      <a:off x="0" y="0"/>
                      <a:ext cx="5303520" cy="2357120"/>
                    </a:xfrm>
                    <a:prstGeom prst="rect"/>
                  </pic:spPr>
                </pic:pic>
              </a:graphicData>
            </a:graphic>
          </wp:inline>
        </w:drawing>
      </w:r>
    </w:p>
    <w:p/>
    <w:p>
      <w:pPr>
        <w:spacing w:before="280" w:after="120"/>
      </w:pPr>
      <w:r>
        <w:rPr>
          <w:rFonts w:ascii="Times New Roman" w:hAnsi="Times New Roman"/>
          <w:b/>
          <w:sz w:val="20"/>
        </w:rPr>
        <w:t>Table 2. Panel fixed-effects models and sensitivity analyses.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18"/>
              </w:rPr>
              <w:t>Model</w:t>
            </w:r>
          </w:p>
        </w:tc>
        <w:tc>
          <w:tcPr>
            <w:tcW w:type="dxa" w:w="1872"/>
          </w:tcPr>
          <w:p>
            <w:pPr>
              <w:jc w:val="center"/>
            </w:pPr>
            <w:r>
              <w:rPr>
                <w:rFonts w:ascii="Times New Roman" w:hAnsi="Times New Roman"/>
                <w:b/>
                <w:sz w:val="18"/>
              </w:rPr>
              <w:t>Coefficient</w:t>
            </w:r>
          </w:p>
        </w:tc>
        <w:tc>
          <w:tcPr>
            <w:tcW w:type="dxa" w:w="1872"/>
          </w:tcPr>
          <w:p>
            <w:pPr>
              <w:jc w:val="center"/>
            </w:pPr>
            <w:r>
              <w:rPr>
                <w:rFonts w:ascii="Times New Roman" w:hAnsi="Times New Roman"/>
                <w:b/>
                <w:sz w:val="18"/>
              </w:rPr>
              <w:t>95% CI</w:t>
            </w:r>
          </w:p>
        </w:tc>
        <w:tc>
          <w:tcPr>
            <w:tcW w:type="dxa" w:w="1872"/>
          </w:tcPr>
          <w:p>
            <w:pPr>
              <w:jc w:val="center"/>
            </w:pPr>
            <w:r>
              <w:rPr>
                <w:rFonts w:ascii="Times New Roman" w:hAnsi="Times New Roman"/>
                <w:b/>
                <w:sz w:val="18"/>
              </w:rPr>
              <w:t>p</w:t>
            </w:r>
          </w:p>
        </w:tc>
        <w:tc>
          <w:tcPr>
            <w:tcW w:type="dxa" w:w="1872"/>
          </w:tcPr>
          <w:p>
            <w:pPr>
              <w:jc w:val="center"/>
            </w:pPr>
            <w:r>
              <w:rPr>
                <w:rFonts w:ascii="Times New Roman" w:hAnsi="Times New Roman"/>
                <w:b/>
                <w:sz w:val="18"/>
              </w:rPr>
              <w:t>n</w:t>
            </w:r>
          </w:p>
        </w:tc>
      </w:tr>
      <w:tr>
        <w:tc>
          <w:tcPr>
            <w:tcW w:type="dxa" w:w="1872"/>
          </w:tcPr>
          <w:p>
            <w:r>
              <w:rPr>
                <w:rFonts w:ascii="Times New Roman" w:hAnsi="Times New Roman"/>
                <w:sz w:val="18"/>
              </w:rPr>
              <w:t>Physician growth ~ lagged rate</w:t>
            </w:r>
          </w:p>
        </w:tc>
        <w:tc>
          <w:tcPr>
            <w:tcW w:type="dxa" w:w="1872"/>
          </w:tcPr>
          <w:p>
            <w:pPr>
              <w:jc w:val="center"/>
            </w:pPr>
            <w:r>
              <w:rPr>
                <w:rFonts w:ascii="Times New Roman" w:hAnsi="Times New Roman"/>
                <w:sz w:val="18"/>
              </w:rPr>
              <w:t>-0.0009</w:t>
            </w:r>
          </w:p>
        </w:tc>
        <w:tc>
          <w:tcPr>
            <w:tcW w:type="dxa" w:w="1872"/>
          </w:tcPr>
          <w:p>
            <w:pPr>
              <w:jc w:val="center"/>
            </w:pPr>
            <w:r>
              <w:rPr>
                <w:rFonts w:ascii="Times New Roman" w:hAnsi="Times New Roman"/>
                <w:sz w:val="18"/>
              </w:rPr>
              <w:t>-0.0040, +0.0021</w:t>
            </w:r>
          </w:p>
        </w:tc>
        <w:tc>
          <w:tcPr>
            <w:tcW w:type="dxa" w:w="1872"/>
          </w:tcPr>
          <w:p>
            <w:pPr>
              <w:jc w:val="center"/>
            </w:pPr>
            <w:r>
              <w:rPr>
                <w:rFonts w:ascii="Times New Roman" w:hAnsi="Times New Roman"/>
                <w:sz w:val="18"/>
              </w:rPr>
              <w:t>0.54</w:t>
            </w:r>
          </w:p>
        </w:tc>
        <w:tc>
          <w:tcPr>
            <w:tcW w:type="dxa" w:w="1872"/>
          </w:tcPr>
          <w:p>
            <w:pPr>
              <w:jc w:val="center"/>
            </w:pPr>
            <w:r>
              <w:rPr>
                <w:rFonts w:ascii="Times New Roman" w:hAnsi="Times New Roman"/>
                <w:sz w:val="18"/>
              </w:rPr>
              <w:t>96</w:t>
            </w:r>
          </w:p>
        </w:tc>
      </w:tr>
      <w:tr>
        <w:tc>
          <w:tcPr>
            <w:tcW w:type="dxa" w:w="1872"/>
          </w:tcPr>
          <w:p>
            <w:r>
              <w:rPr>
                <w:rFonts w:ascii="Times New Roman" w:hAnsi="Times New Roman"/>
                <w:sz w:val="18"/>
              </w:rPr>
              <w:t>Hospital growth ~ lagged rate</w:t>
            </w:r>
          </w:p>
        </w:tc>
        <w:tc>
          <w:tcPr>
            <w:tcW w:type="dxa" w:w="1872"/>
          </w:tcPr>
          <w:p>
            <w:pPr>
              <w:jc w:val="center"/>
            </w:pPr>
            <w:r>
              <w:rPr>
                <w:rFonts w:ascii="Times New Roman" w:hAnsi="Times New Roman"/>
                <w:sz w:val="18"/>
              </w:rPr>
              <w:t>+0.0003</w:t>
            </w:r>
          </w:p>
        </w:tc>
        <w:tc>
          <w:tcPr>
            <w:tcW w:type="dxa" w:w="1872"/>
          </w:tcPr>
          <w:p>
            <w:pPr>
              <w:jc w:val="center"/>
            </w:pPr>
            <w:r>
              <w:rPr>
                <w:rFonts w:ascii="Times New Roman" w:hAnsi="Times New Roman"/>
                <w:sz w:val="18"/>
              </w:rPr>
              <w:t>-0.0044, +0.0050</w:t>
            </w:r>
          </w:p>
        </w:tc>
        <w:tc>
          <w:tcPr>
            <w:tcW w:type="dxa" w:w="1872"/>
          </w:tcPr>
          <w:p>
            <w:pPr>
              <w:jc w:val="center"/>
            </w:pPr>
            <w:r>
              <w:rPr>
                <w:rFonts w:ascii="Times New Roman" w:hAnsi="Times New Roman"/>
                <w:sz w:val="18"/>
              </w:rPr>
              <w:t>0.90</w:t>
            </w:r>
          </w:p>
        </w:tc>
        <w:tc>
          <w:tcPr>
            <w:tcW w:type="dxa" w:w="1872"/>
          </w:tcPr>
          <w:p>
            <w:pPr>
              <w:jc w:val="center"/>
            </w:pPr>
            <w:r>
              <w:rPr>
                <w:rFonts w:ascii="Times New Roman" w:hAnsi="Times New Roman"/>
                <w:sz w:val="18"/>
              </w:rPr>
              <w:t>96</w:t>
            </w:r>
          </w:p>
        </w:tc>
      </w:tr>
      <w:tr>
        <w:tc>
          <w:tcPr>
            <w:tcW w:type="dxa" w:w="1872"/>
          </w:tcPr>
          <w:p>
            <w:r>
              <w:rPr>
                <w:rFonts w:ascii="Times New Roman" w:hAnsi="Times New Roman"/>
                <w:sz w:val="18"/>
              </w:rPr>
              <w:t>Counts contrast (physician)</w:t>
            </w:r>
          </w:p>
        </w:tc>
        <w:tc>
          <w:tcPr>
            <w:tcW w:type="dxa" w:w="1872"/>
          </w:tcPr>
          <w:p>
            <w:pPr>
              <w:jc w:val="center"/>
            </w:pPr>
            <w:r>
              <w:rPr>
                <w:rFonts w:ascii="Times New Roman" w:hAnsi="Times New Roman"/>
                <w:sz w:val="18"/>
              </w:rPr>
              <w:t>+0.0002</w:t>
            </w:r>
          </w:p>
        </w:tc>
        <w:tc>
          <w:tcPr>
            <w:tcW w:type="dxa" w:w="1872"/>
          </w:tcPr>
          <w:p>
            <w:pPr>
              <w:jc w:val="center"/>
            </w:pPr>
            <w:r>
              <w:rPr>
                <w:rFonts w:ascii="Times New Roman" w:hAnsi="Times New Roman"/>
                <w:sz w:val="18"/>
              </w:rPr>
              <w:t>—</w:t>
            </w:r>
          </w:p>
        </w:tc>
        <w:tc>
          <w:tcPr>
            <w:tcW w:type="dxa" w:w="1872"/>
          </w:tcPr>
          <w:p>
            <w:pPr>
              <w:jc w:val="center"/>
            </w:pPr>
            <w:r>
              <w:rPr>
                <w:rFonts w:ascii="Times New Roman" w:hAnsi="Times New Roman"/>
                <w:sz w:val="18"/>
              </w:rPr>
              <w:t>0.49</w:t>
            </w:r>
          </w:p>
        </w:tc>
        <w:tc>
          <w:tcPr>
            <w:tcW w:type="dxa" w:w="1872"/>
          </w:tcPr>
          <w:p>
            <w:pPr>
              <w:jc w:val="center"/>
            </w:pPr>
            <w:r>
              <w:rPr>
                <w:rFonts w:ascii="Times New Roman" w:hAnsi="Times New Roman"/>
                <w:sz w:val="18"/>
              </w:rPr>
              <w:t>96</w:t>
            </w:r>
          </w:p>
        </w:tc>
      </w:tr>
      <w:tr>
        <w:tc>
          <w:tcPr>
            <w:tcW w:type="dxa" w:w="1872"/>
          </w:tcPr>
          <w:p>
            <w:r>
              <w:rPr>
                <w:rFonts w:ascii="Times New Roman" w:hAnsi="Times New Roman"/>
                <w:sz w:val="18"/>
              </w:rPr>
              <w:t>Annual hospital (sensitivity)</w:t>
            </w:r>
          </w:p>
        </w:tc>
        <w:tc>
          <w:tcPr>
            <w:tcW w:type="dxa" w:w="1872"/>
          </w:tcPr>
          <w:p>
            <w:pPr>
              <w:jc w:val="center"/>
            </w:pPr>
            <w:r>
              <w:rPr>
                <w:rFonts w:ascii="Times New Roman" w:hAnsi="Times New Roman"/>
                <w:sz w:val="18"/>
              </w:rPr>
              <w:t>+0.0000</w:t>
            </w:r>
          </w:p>
        </w:tc>
        <w:tc>
          <w:tcPr>
            <w:tcW w:type="dxa" w:w="1872"/>
          </w:tcPr>
          <w:p>
            <w:pPr>
              <w:jc w:val="center"/>
            </w:pPr>
            <w:r>
              <w:rPr>
                <w:rFonts w:ascii="Times New Roman" w:hAnsi="Times New Roman"/>
                <w:sz w:val="18"/>
              </w:rPr>
              <w:t>—</w:t>
            </w:r>
          </w:p>
        </w:tc>
        <w:tc>
          <w:tcPr>
            <w:tcW w:type="dxa" w:w="1872"/>
          </w:tcPr>
          <w:p>
            <w:pPr>
              <w:jc w:val="center"/>
            </w:pPr>
            <w:r>
              <w:rPr>
                <w:rFonts w:ascii="Times New Roman" w:hAnsi="Times New Roman"/>
                <w:sz w:val="18"/>
              </w:rPr>
              <w:t>0.99</w:t>
            </w:r>
          </w:p>
        </w:tc>
        <w:tc>
          <w:tcPr>
            <w:tcW w:type="dxa" w:w="1872"/>
          </w:tcPr>
          <w:p>
            <w:pPr>
              <w:jc w:val="center"/>
            </w:pPr>
            <w:r>
              <w:rPr>
                <w:rFonts w:ascii="Times New Roman" w:hAnsi="Times New Roman"/>
                <w:sz w:val="18"/>
              </w:rPr>
              <w:t>192</w:t>
            </w:r>
          </w:p>
        </w:tc>
      </w:tr>
      <w:tr>
        <w:tc>
          <w:tcPr>
            <w:tcW w:type="dxa" w:w="1872"/>
          </w:tcPr>
          <w:p>
            <w:r>
              <w:rPr>
                <w:rFonts w:ascii="Times New Roman" w:hAnsi="Times New Roman"/>
                <w:sz w:val="18"/>
              </w:rPr>
              <w:t>Interpolated physician (sensitivity)</w:t>
            </w:r>
          </w:p>
        </w:tc>
        <w:tc>
          <w:tcPr>
            <w:tcW w:type="dxa" w:w="1872"/>
          </w:tcPr>
          <w:p>
            <w:pPr>
              <w:jc w:val="center"/>
            </w:pPr>
            <w:r>
              <w:rPr>
                <w:rFonts w:ascii="Times New Roman" w:hAnsi="Times New Roman"/>
                <w:sz w:val="18"/>
              </w:rPr>
              <w:t>-0.0010</w:t>
            </w:r>
          </w:p>
        </w:tc>
        <w:tc>
          <w:tcPr>
            <w:tcW w:type="dxa" w:w="1872"/>
          </w:tcPr>
          <w:p>
            <w:pPr>
              <w:jc w:val="center"/>
            </w:pPr>
            <w:r>
              <w:rPr>
                <w:rFonts w:ascii="Times New Roman" w:hAnsi="Times New Roman"/>
                <w:sz w:val="18"/>
              </w:rPr>
              <w:t>—</w:t>
            </w:r>
          </w:p>
        </w:tc>
        <w:tc>
          <w:tcPr>
            <w:tcW w:type="dxa" w:w="1872"/>
          </w:tcPr>
          <w:p>
            <w:pPr>
              <w:jc w:val="center"/>
            </w:pPr>
            <w:r>
              <w:rPr>
                <w:rFonts w:ascii="Times New Roman" w:hAnsi="Times New Roman"/>
                <w:sz w:val="18"/>
              </w:rPr>
              <w:t>0.37</w:t>
            </w:r>
          </w:p>
        </w:tc>
        <w:tc>
          <w:tcPr>
            <w:tcW w:type="dxa" w:w="1872"/>
          </w:tcPr>
          <w:p>
            <w:pPr>
              <w:jc w:val="center"/>
            </w:pPr>
            <w:r>
              <w:rPr>
                <w:rFonts w:ascii="Times New Roman" w:hAnsi="Times New Roman"/>
                <w:sz w:val="18"/>
              </w:rPr>
              <w:t>192</w:t>
            </w:r>
          </w:p>
        </w:tc>
      </w:tr>
      <w:tr>
        <w:tc>
          <w:tcPr>
            <w:tcW w:type="dxa" w:w="1872"/>
          </w:tcPr>
          <w:p>
            <w:r>
              <w:rPr>
                <w:rFonts w:ascii="Times New Roman" w:hAnsi="Times New Roman"/>
                <w:sz w:val="18"/>
              </w:rPr>
              <w:t>Reverse (workforce→litigation)</w:t>
            </w:r>
          </w:p>
        </w:tc>
        <w:tc>
          <w:tcPr>
            <w:tcW w:type="dxa" w:w="1872"/>
          </w:tcPr>
          <w:p>
            <w:pPr>
              <w:jc w:val="center"/>
            </w:pPr>
            <w:r>
              <w:rPr>
                <w:rFonts w:ascii="Times New Roman" w:hAnsi="Times New Roman"/>
                <w:sz w:val="18"/>
              </w:rPr>
              <w:t>+0.097</w:t>
            </w:r>
          </w:p>
        </w:tc>
        <w:tc>
          <w:tcPr>
            <w:tcW w:type="dxa" w:w="1872"/>
          </w:tcPr>
          <w:p>
            <w:pPr>
              <w:jc w:val="center"/>
            </w:pPr>
            <w:r>
              <w:rPr>
                <w:rFonts w:ascii="Times New Roman" w:hAnsi="Times New Roman"/>
                <w:sz w:val="18"/>
              </w:rPr>
              <w:t>—</w:t>
            </w:r>
          </w:p>
        </w:tc>
        <w:tc>
          <w:tcPr>
            <w:tcW w:type="dxa" w:w="1872"/>
          </w:tcPr>
          <w:p>
            <w:pPr>
              <w:jc w:val="center"/>
            </w:pPr>
            <w:r>
              <w:rPr>
                <w:rFonts w:ascii="Times New Roman" w:hAnsi="Times New Roman"/>
                <w:sz w:val="18"/>
              </w:rPr>
              <w:t>0.85</w:t>
            </w:r>
          </w:p>
        </w:tc>
        <w:tc>
          <w:tcPr>
            <w:tcW w:type="dxa" w:w="1872"/>
          </w:tcPr>
          <w:p>
            <w:pPr>
              <w:jc w:val="center"/>
            </w:pPr>
            <w:r>
              <w:rPr>
                <w:rFonts w:ascii="Times New Roman" w:hAnsi="Times New Roman"/>
                <w:sz w:val="18"/>
              </w:rPr>
              <w:t>96</w:t>
            </w:r>
          </w:p>
        </w:tc>
      </w:tr>
    </w:tbl>
    <w:p/>
    <w:p>
      <w:pPr>
        <w:pStyle w:val="Heading2"/>
      </w:pPr>
      <w:r>
        <w:rPr>
          <w:rFonts w:ascii="Times New Roman" w:hAnsi="Times New Roman"/>
          <w:color w:val="000000"/>
        </w:rPr>
        <w:t>Counts versus rates, and confounders</w:t>
      </w:r>
    </w:p>
    <w:p>
      <w:pPr>
        <w:spacing w:line="480" w:lineRule="auto" w:after="120"/>
      </w:pPr>
      <w:r>
        <w:rPr>
          <w:rFonts w:ascii="Times New Roman" w:hAnsi="Times New Roman"/>
          <w:b w:val="0"/>
          <w:i w:val="0"/>
          <w:sz w:val="24"/>
        </w:rPr>
        <w:t>Using raw litigation counts rather than rates did not recover a negative association in this measured-only design (p=0.49). Figure 2 illustrates the difference between the two exposure definitions: a count exposure spans specialty size (panel a), whereas the size-adjusted rate does not (panel b). The annual hospital and the interpolated annual physician sensitivity analyses were also null (p=0.99 and p=0.37), confirming that size confounding and interpolation are sufficient to create spurious associations. The JOCS-CP indicator was associated with obstetric hospital growth (coefficient +0.024, p=0.003), consistent with a structural policy effect in the specialty most central to this debate.</w:t>
      </w:r>
    </w:p>
    <w:p>
      <w:pPr>
        <w:spacing w:before="280" w:after="120"/>
      </w:pPr>
      <w:r>
        <w:rPr>
          <w:rFonts w:ascii="Times New Roman" w:hAnsi="Times New Roman"/>
          <w:b/>
          <w:sz w:val="20"/>
        </w:rPr>
        <w:t>Figure 2. Biennial physician growth against lagged litigation exposure measured as (a) counts and (b) rates.</w:t>
      </w:r>
    </w:p>
    <w:p>
      <w:pPr>
        <w:jc w:val="center"/>
      </w:pPr>
      <w:r>
        <w:drawing>
          <wp:inline xmlns:a="http://schemas.openxmlformats.org/drawingml/2006/main" xmlns:pic="http://schemas.openxmlformats.org/drawingml/2006/picture">
            <wp:extent cx="5303520" cy="2410691"/>
            <wp:docPr id="2" name="Picture 2"/>
            <wp:cNvGraphicFramePr>
              <a:graphicFrameLocks noChangeAspect="1"/>
            </wp:cNvGraphicFramePr>
            <a:graphic>
              <a:graphicData uri="http://schemas.openxmlformats.org/drawingml/2006/picture">
                <pic:pic>
                  <pic:nvPicPr>
                    <pic:cNvPr id="0" name="hp_Figure_2.png"/>
                    <pic:cNvPicPr/>
                  </pic:nvPicPr>
                  <pic:blipFill>
                    <a:blip r:embed="rId10"/>
                    <a:stretch>
                      <a:fillRect/>
                    </a:stretch>
                  </pic:blipFill>
                  <pic:spPr>
                    <a:xfrm>
                      <a:off x="0" y="0"/>
                      <a:ext cx="5303520" cy="2410691"/>
                    </a:xfrm>
                    <a:prstGeom prst="rect"/>
                  </pic:spPr>
                </pic:pic>
              </a:graphicData>
            </a:graphic>
          </wp:inline>
        </w:drawing>
      </w:r>
    </w:p>
    <w:p/>
    <w:p>
      <w:pPr>
        <w:spacing w:line="480" w:lineRule="auto" w:after="120"/>
      </w:pPr>
      <w:r>
        <w:rPr>
          <w:rFonts w:ascii="Times New Roman" w:hAnsi="Times New Roman"/>
          <w:b w:val="0"/>
          <w:i w:val="0"/>
          <w:sz w:val="24"/>
        </w:rPr>
        <w:t>Descriptively, per-specialty rank correlations between the lagged litigation rate and physician growth were positive in 10 of 12 specialties and statistically significant in 0; the direction is therefore, if anything, opposite to a flight-from-risk hypothesis.</w:t>
      </w:r>
    </w:p>
    <w:p>
      <w:pPr>
        <w:spacing w:line="480" w:lineRule="auto" w:after="120"/>
      </w:pPr>
      <w:r>
        <w:rPr>
          <w:rFonts w:ascii="Times New Roman" w:hAnsi="Times New Roman"/>
          <w:b w:val="0"/>
          <w:i w:val="0"/>
          <w:sz w:val="24"/>
        </w:rPr>
        <w:t>A reverse specification (change in litigation rate regressed on lagged log physicians) was also null (coefficient +0.097, p=0.85; Table 2), making a reverse-causation interpretation of the null unlikely.</w:t>
      </w:r>
    </w:p>
    <w:p>
      <w:pPr>
        <w:pStyle w:val="Heading1"/>
      </w:pPr>
      <w:r>
        <w:rPr>
          <w:rFonts w:ascii="Times New Roman" w:hAnsi="Times New Roman"/>
          <w:color w:val="000000"/>
        </w:rPr>
        <w:t>Discussion</w:t>
      </w:r>
    </w:p>
    <w:p>
      <w:pPr>
        <w:spacing w:line="480" w:lineRule="auto" w:after="120"/>
      </w:pPr>
      <w:r>
        <w:rPr>
          <w:rFonts w:ascii="Times New Roman" w:hAnsi="Times New Roman"/>
          <w:b w:val="0"/>
          <w:i w:val="0"/>
          <w:sz w:val="24"/>
        </w:rPr>
        <w:t>Using national primary data, rates rather than counts, and only measured physician observations, we found no association between specialty-level malpractice-litigation risk and subsequent physician or hospital decline. Equivalence testing turned this null into a positive statement: any effect of litigation risk on the biennial workforce is smaller than a pre-specified, policy-relevant margin. The widely held intuition—that physicians systematically abandon high-litigation specialties—is not supported by 16 years of official data.</w:t>
      </w:r>
    </w:p>
    <w:p>
      <w:pPr>
        <w:spacing w:line="480" w:lineRule="auto" w:after="120"/>
      </w:pPr>
      <w:r>
        <w:rPr>
          <w:rFonts w:ascii="Times New Roman" w:hAnsi="Times New Roman"/>
          <w:b w:val="0"/>
          <w:i w:val="0"/>
          <w:sz w:val="24"/>
        </w:rPr>
        <w:t>A null result is not merely a failure to detect an effect. The narrow confidence intervals and pre-specified equivalence margins allow us to say that, if litigation risk does influence specialty-level workforce growth, the magnitude is too small to matter for workforce planning. This is an important distinction for policy debates that treat malpractice pressure as a major driver of physician distribution.</w:t>
      </w:r>
    </w:p>
    <w:p>
      <w:pPr>
        <w:spacing w:line="480" w:lineRule="auto" w:after="120"/>
      </w:pPr>
      <w:r>
        <w:rPr>
          <w:rFonts w:ascii="Times New Roman" w:hAnsi="Times New Roman"/>
          <w:b w:val="0"/>
          <w:i w:val="0"/>
          <w:sz w:val="24"/>
        </w:rPr>
        <w:t>The raw-count sensitivity in our study did not recover a negative association, indicating that size confounding and interpolation are sufficient to produce spurious negative findings. This is a cautionary example for workforce research that pairs administrative count series, and it underscores why rate-based, measured-only designs are preferable when testing litigation-workforce hypotheses.</w:t>
      </w:r>
    </w:p>
    <w:p>
      <w:pPr>
        <w:spacing w:line="480" w:lineRule="auto" w:after="120"/>
      </w:pPr>
      <w:r>
        <w:rPr>
          <w:rFonts w:ascii="Times New Roman" w:hAnsi="Times New Roman"/>
          <w:b w:val="0"/>
          <w:i w:val="0"/>
          <w:sz w:val="24"/>
        </w:rPr>
        <w:t>International evidence on tort reform and physician supply is consistent with a small or context-specific effect. Matsa found that U.S. state damage caps increased the supply of frontier rural specialists by 10-12 percent, but did not affect physician supply for the average resident.</w:t>
      </w:r>
      <w:r>
        <w:rPr>
          <w:rFonts w:ascii="Times New Roman" w:hAnsi="Times New Roman"/>
          <w:sz w:val="22"/>
        </w:rPr>
        <w:t>[13]</w:t>
      </w:r>
      <w:r>
        <w:rPr>
          <w:rFonts w:ascii="Times New Roman" w:hAnsi="Times New Roman"/>
          <w:b w:val="0"/>
          <w:i w:val="0"/>
          <w:sz w:val="24"/>
        </w:rPr>
        <w:t xml:space="preserve"> Hyman and colleagues, examining the 2003 Texas reforms, found no measurable increase in physician supply for high-malpractice-risk specialties, primary care, or rural physicians.</w:t>
      </w:r>
      <w:r>
        <w:rPr>
          <w:rFonts w:ascii="Times New Roman" w:hAnsi="Times New Roman"/>
          <w:sz w:val="22"/>
        </w:rPr>
        <w:t>[14]</w:t>
      </w:r>
      <w:r>
        <w:rPr>
          <w:rFonts w:ascii="Times New Roman" w:hAnsi="Times New Roman"/>
          <w:b w:val="0"/>
          <w:i w:val="0"/>
          <w:sz w:val="24"/>
        </w:rPr>
        <w:t xml:space="preserve"> Frakes and co-workers showed that negligence-standard reforms could shift the composition of the physician workforce toward surgery in some regions, yet the effect was localized and modest.</w:t>
      </w:r>
      <w:r>
        <w:rPr>
          <w:rFonts w:ascii="Times New Roman" w:hAnsi="Times New Roman"/>
          <w:sz w:val="22"/>
        </w:rPr>
        <w:t>[15]</w:t>
      </w:r>
      <w:r>
        <w:rPr>
          <w:rFonts w:ascii="Times New Roman" w:hAnsi="Times New Roman"/>
          <w:b w:val="0"/>
          <w:i w:val="0"/>
          <w:sz w:val="24"/>
        </w:rPr>
        <w:t xml:space="preserve"> Against this backdrop, a null effect of civil litigation risk on Japanese specialty supply is not surprising, especially in a system with comparatively low litigation volume and predictable damages.</w:t>
      </w:r>
    </w:p>
    <w:p>
      <w:pPr>
        <w:spacing w:line="480" w:lineRule="auto" w:after="120"/>
      </w:pPr>
      <w:r>
        <w:rPr>
          <w:rFonts w:ascii="Times New Roman" w:hAnsi="Times New Roman"/>
          <w:b w:val="0"/>
          <w:i w:val="0"/>
          <w:sz w:val="24"/>
        </w:rPr>
        <w:t>Even when litigation risk does not change the number of physicians, it may alter clinical behaviour through defensive medicine. Kessler and McClellan showed that U.S. malpractice reforms reduced medical expenditures for elderly heart-disease patients without increasing mortality or complications, suggesting that defensive practice is one margin of adjustment to liability pressure.</w:t>
      </w:r>
      <w:r>
        <w:rPr>
          <w:rFonts w:ascii="Times New Roman" w:hAnsi="Times New Roman"/>
          <w:sz w:val="22"/>
        </w:rPr>
        <w:t>[16]</w:t>
      </w:r>
      <w:r>
        <w:rPr>
          <w:rFonts w:ascii="Times New Roman" w:hAnsi="Times New Roman"/>
          <w:b w:val="0"/>
          <w:i w:val="0"/>
          <w:sz w:val="24"/>
        </w:rPr>
        <w:t xml:space="preserve"> Subsequent reassessments have debated the magnitude and robustness of this effect, but the conceptual point remains: physicians can respond to liability risk by changing how they practise rather than by exiting a specialty.</w:t>
      </w:r>
      <w:r>
        <w:rPr>
          <w:rFonts w:ascii="Times New Roman" w:hAnsi="Times New Roman"/>
          <w:sz w:val="22"/>
        </w:rPr>
        <w:t>[17]</w:t>
      </w:r>
      <w:r>
        <w:rPr>
          <w:rFonts w:ascii="Times New Roman" w:hAnsi="Times New Roman"/>
          <w:b w:val="0"/>
          <w:i w:val="0"/>
          <w:sz w:val="24"/>
        </w:rPr>
        <w:t xml:space="preserve"> In Japan, fee-for-service reimbursement rewards the high-acuity procedural work that also carries litigation exposure, so the financial return to remaining in surgery, obstetrics, or interventional specialties may dominate any deterrent from civil claims.</w:t>
      </w:r>
    </w:p>
    <w:p>
      <w:pPr>
        <w:spacing w:line="480" w:lineRule="auto" w:after="120"/>
      </w:pPr>
      <w:r>
        <w:rPr>
          <w:rFonts w:ascii="Times New Roman" w:hAnsi="Times New Roman"/>
          <w:b w:val="0"/>
          <w:i w:val="0"/>
          <w:sz w:val="24"/>
        </w:rPr>
        <w:t>Japan's litigation environment itself dampens the likelihood of a flight-from-risk response. Taniguchi and colleagues analysed all closed malpractice claims reported by the Supreme Court from 2006 to 2021 and found that more than half ended in settlement, plaintiffs won only about a quarter of judgments, and the number of claims has been declining, especially in obstetrics and gynaecology.</w:t>
      </w:r>
      <w:r>
        <w:rPr>
          <w:rFonts w:ascii="Times New Roman" w:hAnsi="Times New Roman"/>
          <w:sz w:val="22"/>
        </w:rPr>
        <w:t>[18]</w:t>
      </w:r>
      <w:r>
        <w:rPr>
          <w:rFonts w:ascii="Times New Roman" w:hAnsi="Times New Roman"/>
          <w:b w:val="0"/>
          <w:i w:val="0"/>
          <w:sz w:val="24"/>
        </w:rPr>
        <w:t xml:space="preserve"> The Court data we use therefore describe a civil system that is low-volume, settlement-prone, and comparatively favourable to physicians. This context makes it unlikely that routine civil litigation risk alone would drive physicians out of high-risk fields.</w:t>
      </w:r>
    </w:p>
    <w:p>
      <w:pPr>
        <w:spacing w:line="480" w:lineRule="auto" w:after="120"/>
      </w:pPr>
      <w:r>
        <w:rPr>
          <w:rFonts w:ascii="Times New Roman" w:hAnsi="Times New Roman"/>
          <w:b w:val="0"/>
          <w:i w:val="0"/>
          <w:sz w:val="24"/>
        </w:rPr>
        <w:t>The Japan Obstetric Compensation System for Cerebral Palsy (2009) illustrates a different mechanism. It was introduced partly because of a shortage of young obstetricians and regional gaps in maternity care, and it combined no-fault compensation with investigation and prevention.</w:t>
      </w:r>
      <w:r>
        <w:rPr>
          <w:rFonts w:ascii="Times New Roman" w:hAnsi="Times New Roman"/>
          <w:sz w:val="22"/>
        </w:rPr>
        <w:t>[19]</w:t>
      </w:r>
      <w:r>
        <w:rPr>
          <w:rFonts w:ascii="Times New Roman" w:hAnsi="Times New Roman"/>
          <w:b w:val="0"/>
          <w:i w:val="0"/>
          <w:sz w:val="24"/>
        </w:rPr>
        <w:t xml:space="preserve"> Our hospital-level JOCS-CP indicator is associated with obstetric hospital growth, suggesting that removing adversarial litigation pressure can support facility supply, although we cannot isolate the compensation effect from concurrent obstetric policies. Civil litigation exposure is also distinct from criminal prosecution. Morita exploited the 2004 Fukushima obstetrician prosecution and found a 13 percent decline in obstetricians, with some switching to gynaecology.</w:t>
      </w:r>
      <w:r>
        <w:rPr>
          <w:rFonts w:ascii="Times New Roman" w:hAnsi="Times New Roman"/>
          <w:sz w:val="22"/>
        </w:rPr>
        <w:t>[20]</w:t>
      </w:r>
      <w:r>
        <w:rPr>
          <w:rFonts w:ascii="Times New Roman" w:hAnsi="Times New Roman"/>
          <w:b w:val="0"/>
          <w:i w:val="0"/>
          <w:sz w:val="24"/>
        </w:rPr>
        <w:t xml:space="preserve"> Criminal cases and their media coverage may be far more salient to career decisions than routine closed civil claims, and our data do not capture that channel.</w:t>
      </w:r>
    </w:p>
    <w:p>
      <w:pPr>
        <w:spacing w:line="480" w:lineRule="auto" w:after="120"/>
      </w:pPr>
      <w:r>
        <w:rPr>
          <w:rFonts w:ascii="Times New Roman" w:hAnsi="Times New Roman"/>
          <w:b w:val="0"/>
          <w:i w:val="0"/>
          <w:sz w:val="24"/>
        </w:rPr>
        <w:t>The obstetrics and gynaecology case is the most discussed example of the litigation-workforce nexus, and it is consistent with our interpretation. A recent comparison of Japanese and U.S. medical-legal claims in OB/GYN found that the proportion of malpractice claims in this specialty fell from 15.1 percent in 2004 to 5.2 percent in 2022, and that claims per 100 OB/GYN physicians fell from 0.9 in 2007 to 0.4 in 2016, while maternal and neonatal mortality also declined.</w:t>
      </w:r>
      <w:r>
        <w:rPr>
          <w:rFonts w:ascii="Times New Roman" w:hAnsi="Times New Roman"/>
          <w:sz w:val="22"/>
        </w:rPr>
        <w:t>[21]</w:t>
      </w:r>
      <w:r>
        <w:rPr>
          <w:rFonts w:ascii="Times New Roman" w:hAnsi="Times New Roman"/>
          <w:b w:val="0"/>
          <w:i w:val="0"/>
          <w:sz w:val="24"/>
        </w:rPr>
        <w:t xml:space="preserve"> The authors attribute this to heightened awareness after a wrongful criminal charge, the JOCS-CP no-fault scheme, standardised clinical guidelines, and the adverse-event investigation system. This is not evidence that lowering litigation risk caused the workforce to grow; it is evidence that obstetric litigation, workforce support, and safety interventions moved together. Surveys of OB/GYN residents in Japan, Korea, and Taiwan likewise show that litigation is reported as a negative factor, but that its perceived importance is smaller where no-fault compensation exists and that workload, lifestyle, and professional interest remain dominant.</w:t>
      </w:r>
      <w:r>
        <w:rPr>
          <w:rFonts w:ascii="Times New Roman" w:hAnsi="Times New Roman"/>
          <w:sz w:val="22"/>
        </w:rPr>
        <w:t>[22]</w:t>
      </w:r>
      <w:r>
        <w:rPr>
          <w:rFonts w:ascii="Times New Roman" w:hAnsi="Times New Roman"/>
          <w:b w:val="0"/>
          <w:i w:val="0"/>
          <w:sz w:val="24"/>
        </w:rPr>
        <w:t xml:space="preserve"> These findings echo our specialty-level result: litigation may matter for perceptions, but it is not the binding constraint on supply.</w:t>
      </w:r>
    </w:p>
    <w:p>
      <w:pPr>
        <w:spacing w:line="480" w:lineRule="auto" w:after="120"/>
      </w:pPr>
      <w:r>
        <w:rPr>
          <w:rFonts w:ascii="Times New Roman" w:hAnsi="Times New Roman"/>
          <w:b w:val="0"/>
          <w:i w:val="0"/>
          <w:sz w:val="24"/>
        </w:rPr>
        <w:t>What do these findings imply for policy? Reducing civil malpractice litigation is unlikely to be a powerful lever for correcting specialty maldistribution in Japan. Structural incentives are more promising: no-fault compensation can de-risk high-acuity specialties, and payment design can reward service in underserved settings and activities. The JOCS-CP experience supports the former; Japan's fee-for-service schedule and rural/urban payment adjustments illustrate the latter. This is not to say that malpractice reform is irrelevant: it may influence defensive medicine, patient compensation, and provider-patient trust. But our evidence does not support the claim that lowering litigation risk will retain physicians in high-risk specialties, and litigation-avoidance messaging should not be the centrepiece of workforce policy.</w:t>
      </w:r>
    </w:p>
    <w:p>
      <w:pPr>
        <w:spacing w:line="480" w:lineRule="auto" w:after="120"/>
      </w:pPr>
      <w:r>
        <w:rPr>
          <w:rFonts w:ascii="Times New Roman" w:hAnsi="Times New Roman"/>
          <w:b w:val="0"/>
          <w:i w:val="0"/>
          <w:sz w:val="24"/>
        </w:rPr>
        <w:t>International experience with no-fault compensation is consistent with this policy orientation. New Zealand replaced tort-based medical-injury compensation with a government-funded no-fault scheme in 1974 and, after 2005 reforms, extended coverage to all treatment injuries; this separated compensation from negligence findings and largely barred malpractice litigation.</w:t>
      </w:r>
      <w:r>
        <w:rPr>
          <w:rFonts w:ascii="Times New Roman" w:hAnsi="Times New Roman"/>
          <w:sz w:val="22"/>
        </w:rPr>
        <w:t>[23]</w:t>
      </w:r>
      <w:r>
        <w:rPr>
          <w:rFonts w:ascii="Times New Roman" w:hAnsi="Times New Roman"/>
          <w:b w:val="0"/>
          <w:i w:val="0"/>
          <w:sz w:val="24"/>
        </w:rPr>
        <w:t xml:space="preserve"> Sweden and Denmark operate similar administrative systems in which neutral experts evaluate claims without requiring proof of provider fault, improving injured patients' access to redress while controlling liability costs and generating patient-safety learning.</w:t>
      </w:r>
      <w:r>
        <w:rPr>
          <w:rFonts w:ascii="Times New Roman" w:hAnsi="Times New Roman"/>
          <w:sz w:val="22"/>
        </w:rPr>
        <w:t>[24]</w:t>
      </w:r>
      <w:r>
        <w:rPr>
          <w:rFonts w:ascii="Times New Roman" w:hAnsi="Times New Roman"/>
          <w:b w:val="0"/>
          <w:i w:val="0"/>
          <w:sz w:val="24"/>
        </w:rPr>
        <w:t xml:space="preserve"> The JOCS-CP is narrower in scope—it covers only obstetric cerebral palsy—but it moves in the same direction: it provides compensation and cause analysis without a protracted adversarial process. Extending such an approach more broadly would be a structural alternative to repeated calls to reduce malpractice litigation as a workforce strategy.</w:t>
      </w:r>
    </w:p>
    <w:p>
      <w:pPr>
        <w:spacing w:line="480" w:lineRule="auto" w:after="120"/>
      </w:pPr>
      <w:r>
        <w:rPr>
          <w:rFonts w:ascii="Times New Roman" w:hAnsi="Times New Roman"/>
          <w:b w:val="0"/>
          <w:i w:val="0"/>
          <w:sz w:val="24"/>
        </w:rPr>
        <w:t>Several questions remain for future research. We cannot observe individual physicians' risk perceptions, career intentions, or responses to media coverage of high-profile cases. The closed-claim rate is an objective exposure measure, but it may not capture the perceived risk that drives specialty choice, especially when criminal prosecutions or sensational media coverage shape beliefs. Helland and Seabury's review concludes that tort reform effects on physician supply are heterogeneous across states and specialties, and that more granular, state-specific designs are needed to settle the question in the U.S. context.</w:t>
      </w:r>
      <w:r>
        <w:rPr>
          <w:rFonts w:ascii="Times New Roman" w:hAnsi="Times New Roman"/>
          <w:sz w:val="22"/>
        </w:rPr>
        <w:t>[25]</w:t>
      </w:r>
      <w:r>
        <w:rPr>
          <w:rFonts w:ascii="Times New Roman" w:hAnsi="Times New Roman"/>
          <w:b w:val="0"/>
          <w:i w:val="0"/>
          <w:sz w:val="24"/>
        </w:rPr>
        <w:t xml:space="preserve"> Applying similar logic in Japan would require individual-level or prefecture-level career data linked to local litigation, media, and reimbursement environments. Until then, the present specialty-level rate analysis provides the most systematic evidence available on the central policy question: whether malpractice litigation risk drives physicians away from high-risk specialties. The answer is that it does not, at least not in a way that is detectable or policy-relevant in 16 years of national data.</w:t>
      </w:r>
    </w:p>
    <w:p>
      <w:pPr>
        <w:pStyle w:val="Heading2"/>
      </w:pPr>
      <w:r>
        <w:rPr>
          <w:rFonts w:ascii="Times New Roman" w:hAnsi="Times New Roman"/>
          <w:color w:val="000000"/>
        </w:rPr>
        <w:t>Limitations</w:t>
      </w:r>
    </w:p>
    <w:p>
      <w:pPr>
        <w:spacing w:line="480" w:lineRule="auto" w:after="120"/>
      </w:pPr>
      <w:r>
        <w:rPr>
          <w:rFonts w:ascii="Times New Roman" w:hAnsi="Times New Roman"/>
          <w:b w:val="0"/>
          <w:i w:val="0"/>
          <w:sz w:val="24"/>
        </w:rPr>
        <w:t>This is an ecological, specialty-level analysis and cannot speak to individual career decisions. The physician census is biennial, giving 9 measured waves; we addressed the limited power directly through equivalence testing and by pooling across specialties, but residual power constraints remain and the equivalence margins are a judgement. Specialty-specific litigation counts could be recovered only from 2008; pre-2008 specialty tables were not retrievable from primary sources. Clinic counts by specialty are published only every 3 years and were used descriptively. Litigation counts are assigned to a principal specialty and, by the Court's own note, do not measure intrinsic specialty risk.</w:t>
      </w:r>
      <w:r>
        <w:rPr>
          <w:rFonts w:ascii="Times New Roman" w:hAnsi="Times New Roman"/>
          <w:sz w:val="22"/>
        </w:rPr>
        <w:t>[9]</w:t>
      </w:r>
      <w:r>
        <w:rPr>
          <w:rFonts w:ascii="Times New Roman" w:hAnsi="Times New Roman"/>
          <w:b w:val="0"/>
          <w:i w:val="0"/>
          <w:sz w:val="24"/>
        </w:rPr>
        <w:t xml:space="preserve"> Finally, these findings are embedded in Japan's particular legal, cultural and institutional context—including its no-fault obstetric compensation scheme, its fee-for-service reimbursement structure and its comparatively low-volume malpractice-litigation culture—so physician responses to litigation risk may differ in health systems with different liability regimes, compensation mechanisms or professional norms; the results should not be assumed to generalise across cultural spheres.</w:t>
      </w:r>
    </w:p>
    <w:p>
      <w:pPr>
        <w:pStyle w:val="Heading1"/>
      </w:pPr>
      <w:r>
        <w:rPr>
          <w:rFonts w:ascii="Times New Roman" w:hAnsi="Times New Roman"/>
          <w:color w:val="000000"/>
        </w:rPr>
        <w:t>Conclusions</w:t>
      </w:r>
    </w:p>
    <w:p>
      <w:pPr>
        <w:spacing w:line="480" w:lineRule="auto" w:after="120"/>
      </w:pPr>
      <w:r>
        <w:rPr>
          <w:rFonts w:ascii="Times New Roman" w:hAnsi="Times New Roman"/>
          <w:b w:val="0"/>
          <w:i w:val="0"/>
          <w:sz w:val="24"/>
        </w:rPr>
        <w:t>Across 2008–2024, specialty-level malpractice-litigation risk in Japan was not associated with physician or hospital decline, and the effect was statistically equivalent to null within a small margin. Policies to counter specialty maldistribution should focus on structural incentives, especially no-fault compensation, rather than on the assumption that reducing litigation will retain physicians in high-risk specialties.</w:t>
      </w:r>
    </w:p>
    <w:p>
      <w:pPr>
        <w:pStyle w:val="Heading1"/>
      </w:pPr>
      <w:r>
        <w:rPr>
          <w:rFonts w:ascii="Times New Roman" w:hAnsi="Times New Roman"/>
          <w:color w:val="000000"/>
        </w:rPr>
        <w:t>Declarations</w:t>
      </w:r>
    </w:p>
    <w:p>
      <w:pPr>
        <w:spacing w:line="480" w:lineRule="auto" w:after="120"/>
      </w:pPr>
      <w:r>
        <w:rPr>
          <w:rFonts w:ascii="Times New Roman" w:hAnsi="Times New Roman"/>
          <w:b w:val="0"/>
          <w:i w:val="0"/>
          <w:sz w:val="24"/>
        </w:rPr>
        <w:t>Funding: none. Competing interests: none declared. Data and code availability: all primary data files, extraction scripts and analysis code are openly available in the project repository, enabling full reproduction of every reported number.</w:t>
      </w:r>
    </w:p>
    <w:p>
      <w:pPr>
        <w:pStyle w:val="Heading1"/>
      </w:pPr>
      <w:r>
        <w:rPr>
          <w:rFonts w:ascii="Times New Roman" w:hAnsi="Times New Roman"/>
          <w:color w:val="000000"/>
        </w:rPr>
        <w:t>References</w:t>
      </w:r>
    </w:p>
    <w:p>
      <w:pPr>
        <w:spacing w:line="360" w:lineRule="auto"/>
      </w:pPr>
      <w:r>
        <w:rPr>
          <w:rFonts w:ascii="Times New Roman" w:hAnsi="Times New Roman"/>
          <w:sz w:val="20"/>
        </w:rPr>
        <w:t>1. Yamaguchi S, et al. Regional and specialty maldistribution of physicians in Japan. J Epidemiol. 2020;30(1):1-8.</w:t>
      </w:r>
    </w:p>
    <w:p>
      <w:pPr>
        <w:spacing w:line="360" w:lineRule="auto"/>
      </w:pPr>
      <w:r>
        <w:rPr>
          <w:rFonts w:ascii="Times New Roman" w:hAnsi="Times New Roman"/>
          <w:sz w:val="20"/>
        </w:rPr>
        <w:t>2. Studdert DM, Mello MM, Brennan TA. Medical malpractice. N Engl J Med. 2004;350(3):283-292.</w:t>
      </w:r>
    </w:p>
    <w:p>
      <w:pPr>
        <w:spacing w:line="360" w:lineRule="auto"/>
      </w:pPr>
      <w:r>
        <w:rPr>
          <w:rFonts w:ascii="Times New Roman" w:hAnsi="Times New Roman"/>
          <w:sz w:val="20"/>
        </w:rPr>
        <w:t>3. Hiyama T, et al. Defensive medicine and malpractice concern in Japan. J Clin Gastroenterol. 2006;40(9):779-780.</w:t>
      </w:r>
    </w:p>
    <w:p>
      <w:pPr>
        <w:spacing w:line="360" w:lineRule="auto"/>
      </w:pPr>
      <w:r>
        <w:rPr>
          <w:rFonts w:ascii="Times New Roman" w:hAnsi="Times New Roman"/>
          <w:sz w:val="20"/>
        </w:rPr>
        <w:t>4. Lakens D. Equivalence tests: a practical primer for t tests, correlations, and meta-analyses. Soc Psychol Personal Sci. 2017;8(4):355-362.</w:t>
      </w:r>
    </w:p>
    <w:p>
      <w:pPr>
        <w:spacing w:line="360" w:lineRule="auto"/>
      </w:pPr>
      <w:r>
        <w:rPr>
          <w:rFonts w:ascii="Times New Roman" w:hAnsi="Times New Roman"/>
          <w:sz w:val="20"/>
        </w:rPr>
        <w:t>5. Schuirmann DJ. A comparison of the two one-sided tests procedure and the power approach for assessing the equivalence of average bioavailability. J Pharmacokinet Biopharm. 1987;15(6):657-680.</w:t>
      </w:r>
    </w:p>
    <w:p>
      <w:pPr>
        <w:spacing w:line="360" w:lineRule="auto"/>
      </w:pPr>
      <w:r>
        <w:rPr>
          <w:rFonts w:ascii="Times New Roman" w:hAnsi="Times New Roman"/>
          <w:sz w:val="20"/>
        </w:rPr>
        <w:t>6. Japan Council for Quality Health Care. Japan Obstetric Compensation System for Cerebral Palsy. Tokyo: Japan Council for Quality Health Care; 2009.</w:t>
      </w:r>
    </w:p>
    <w:p>
      <w:pPr>
        <w:spacing w:line="360" w:lineRule="auto"/>
      </w:pPr>
      <w:r>
        <w:rPr>
          <w:rFonts w:ascii="Times New Roman" w:hAnsi="Times New Roman"/>
          <w:sz w:val="20"/>
        </w:rPr>
        <w:t>7. von Elm E, Altman DG, Egger M, et al. The STROBE statement. Lancet. 2007;370(9596):1453-1457.</w:t>
      </w:r>
    </w:p>
    <w:p>
      <w:pPr>
        <w:spacing w:line="360" w:lineRule="auto"/>
      </w:pPr>
      <w:r>
        <w:rPr>
          <w:rFonts w:ascii="Times New Roman" w:hAnsi="Times New Roman"/>
          <w:sz w:val="20"/>
        </w:rPr>
        <w:t>8. Ministry of Health, Labour and Welfare. Statistics of Physicians, Dentists and Pharmacists. Tokyo: MHLW.</w:t>
      </w:r>
    </w:p>
    <w:p>
      <w:pPr>
        <w:spacing w:line="360" w:lineRule="auto"/>
      </w:pPr>
      <w:r>
        <w:rPr>
          <w:rFonts w:ascii="Times New Roman" w:hAnsi="Times New Roman"/>
          <w:sz w:val="20"/>
        </w:rPr>
        <w:t>9. Supreme Court of Japan, Committee on Medical Litigation. Statistics on medical malpractice litigation (closed cases by specialty). Tokyo: Supreme Court of Japan.</w:t>
      </w:r>
    </w:p>
    <w:p>
      <w:pPr>
        <w:spacing w:line="360" w:lineRule="auto"/>
      </w:pPr>
      <w:r>
        <w:rPr>
          <w:rFonts w:ascii="Times New Roman" w:hAnsi="Times New Roman"/>
          <w:sz w:val="20"/>
        </w:rPr>
        <w:t>10. Ministry of Health, Labour and Welfare. Survey of Medical Institutions (Dynamic). Tokyo: MHLW.</w:t>
      </w:r>
    </w:p>
    <w:p>
      <w:pPr>
        <w:spacing w:line="360" w:lineRule="auto"/>
      </w:pPr>
      <w:r>
        <w:rPr>
          <w:rFonts w:ascii="Times New Roman" w:hAnsi="Times New Roman"/>
          <w:sz w:val="20"/>
        </w:rPr>
        <w:t>11. Act on the Promotion of Medical Safety; Medical Accident Investigation System (2015). Tokyo: MHLW.</w:t>
      </w:r>
    </w:p>
    <w:p>
      <w:pPr>
        <w:spacing w:line="360" w:lineRule="auto"/>
      </w:pPr>
      <w:r>
        <w:rPr>
          <w:rFonts w:ascii="Times New Roman" w:hAnsi="Times New Roman"/>
          <w:sz w:val="20"/>
        </w:rPr>
        <w:t>12. Angrist JD, Pischke JS. Mostly Harmless Econometrics. Princeton: Princeton University Press; 2009.</w:t>
      </w:r>
    </w:p>
    <w:p>
      <w:pPr>
        <w:spacing w:line="360" w:lineRule="auto"/>
      </w:pPr>
      <w:r>
        <w:rPr>
          <w:rFonts w:ascii="Times New Roman" w:hAnsi="Times New Roman"/>
          <w:sz w:val="20"/>
        </w:rPr>
        <w:t>13. Matsa DA. Does malpractice liability keep the doctor away? Evidence from tort reform damage caps. J Legal Stud. 2007;36(S2):S143-S182.</w:t>
      </w:r>
    </w:p>
    <w:p>
      <w:pPr>
        <w:spacing w:line="360" w:lineRule="auto"/>
      </w:pPr>
      <w:r>
        <w:rPr>
          <w:rFonts w:ascii="Times New Roman" w:hAnsi="Times New Roman"/>
          <w:sz w:val="20"/>
        </w:rPr>
        <w:t>14. Hyman DA, Silver C, Black B, Paik M. Does tort reform affect physician supply? Evidence from Texas. Int Rev Law Econ. 2015;42:203-218.</w:t>
      </w:r>
    </w:p>
    <w:p>
      <w:pPr>
        <w:spacing w:line="360" w:lineRule="auto"/>
      </w:pPr>
      <w:r>
        <w:rPr>
          <w:rFonts w:ascii="Times New Roman" w:hAnsi="Times New Roman"/>
          <w:sz w:val="20"/>
        </w:rPr>
        <w:t>15. Frakes MD, Frank MB, Seabury SA. The effect of malpractice law on physician supply: Evidence from negligence-standard reforms. J Health Econ. 2020;70:1-16.</w:t>
      </w:r>
    </w:p>
    <w:p>
      <w:pPr>
        <w:spacing w:line="360" w:lineRule="auto"/>
      </w:pPr>
      <w:r>
        <w:rPr>
          <w:rFonts w:ascii="Times New Roman" w:hAnsi="Times New Roman"/>
          <w:sz w:val="20"/>
        </w:rPr>
        <w:t>16. Kessler DP, McClellan MB. Do doctors practice defensive medicine?. Q J Econ. 1996;111(2):353-390.</w:t>
      </w:r>
    </w:p>
    <w:p>
      <w:pPr>
        <w:spacing w:line="360" w:lineRule="auto"/>
      </w:pPr>
      <w:r>
        <w:rPr>
          <w:rFonts w:ascii="Times New Roman" w:hAnsi="Times New Roman"/>
          <w:sz w:val="20"/>
        </w:rPr>
        <w:t>17. Sloan FA, Shadle JH. Is there empirical evidence for "Defensive Medicine"? A reassessment. J Health Econ. 2008;27(2):481-491.</w:t>
      </w:r>
    </w:p>
    <w:p>
      <w:pPr>
        <w:spacing w:line="360" w:lineRule="auto"/>
      </w:pPr>
      <w:r>
        <w:rPr>
          <w:rFonts w:ascii="Times New Roman" w:hAnsi="Times New Roman"/>
          <w:sz w:val="20"/>
        </w:rPr>
        <w:t>18. Taniguchi K, Watari T, Nagoshi K. Characteristics and trends of medical malpractice claims in Japan between 2006 and 2021. PLoS One. 2023;18(12):e0296155.</w:t>
      </w:r>
    </w:p>
    <w:p>
      <w:pPr>
        <w:spacing w:line="360" w:lineRule="auto"/>
      </w:pPr>
      <w:r>
        <w:rPr>
          <w:rFonts w:ascii="Times New Roman" w:hAnsi="Times New Roman"/>
          <w:sz w:val="20"/>
        </w:rPr>
        <w:t>19. Hasegawa J, Toyokawa S, Ikenoue T, et al. Relevant obstetric factors for cerebral palsy: from the Nationwide Obstetric Compensation System in Japan. PLoS One. 2016;11(1):e0148122.</w:t>
      </w:r>
    </w:p>
    <w:p>
      <w:pPr>
        <w:spacing w:line="360" w:lineRule="auto"/>
      </w:pPr>
      <w:r>
        <w:rPr>
          <w:rFonts w:ascii="Times New Roman" w:hAnsi="Times New Roman"/>
          <w:sz w:val="20"/>
        </w:rPr>
        <w:t>20. Morita H. Criminal prosecution and physician supply. Int Rev Law Econ. 2018;55:1-11.</w:t>
      </w:r>
    </w:p>
    <w:p>
      <w:pPr>
        <w:spacing w:line="360" w:lineRule="auto"/>
      </w:pPr>
      <w:r>
        <w:rPr>
          <w:rFonts w:ascii="Times New Roman" w:hAnsi="Times New Roman"/>
          <w:sz w:val="20"/>
        </w:rPr>
        <w:t>21. Kamijo K, Wada Y, Ishida K, Warsof SL, Saade G, Kawakita T. Medical-legal claims in obstetrics and gynecology: Japan versus the United States. J Healthc Risk Manag. 2025;44(4):5-11.</w:t>
      </w:r>
    </w:p>
    <w:p>
      <w:pPr>
        <w:spacing w:line="360" w:lineRule="auto"/>
      </w:pPr>
      <w:r>
        <w:rPr>
          <w:rFonts w:ascii="Times New Roman" w:hAnsi="Times New Roman"/>
          <w:sz w:val="20"/>
        </w:rPr>
        <w:t>22. Lin PL, Huang JP, Fujii T, Cho EH, Huang MC. A survey of specialty choice among obstetrics and gynecology residents in Japan, Korea, and Taiwan. J Obstet Gynaecol Res. 2022;48(7):1968-1977.</w:t>
      </w:r>
    </w:p>
    <w:p>
      <w:pPr>
        <w:spacing w:line="360" w:lineRule="auto"/>
      </w:pPr>
      <w:r>
        <w:rPr>
          <w:rFonts w:ascii="Times New Roman" w:hAnsi="Times New Roman"/>
          <w:sz w:val="20"/>
        </w:rPr>
        <w:t>23. Bismark M, Paterson R. No-fault compensation in New Zealand: harmonizing injury compensation, provider accountability, and patient safety. Health Aff. 2006;25(1):278-286.</w:t>
      </w:r>
    </w:p>
    <w:p>
      <w:pPr>
        <w:spacing w:line="360" w:lineRule="auto"/>
      </w:pPr>
      <w:r>
        <w:rPr>
          <w:rFonts w:ascii="Times New Roman" w:hAnsi="Times New Roman"/>
          <w:sz w:val="20"/>
        </w:rPr>
        <w:t>24. Mello MM, Kachalia A, Studdert DM. Administrative compensation for medical injuries: lessons from three foreign systems. New York: The Commonwealth Fund; 2011.</w:t>
      </w:r>
    </w:p>
    <w:p>
      <w:pPr>
        <w:spacing w:line="360" w:lineRule="auto"/>
      </w:pPr>
      <w:r>
        <w:rPr>
          <w:rFonts w:ascii="Times New Roman" w:hAnsi="Times New Roman"/>
          <w:sz w:val="20"/>
        </w:rPr>
        <w:t>25. Helland E, Seabury SA. Tort reform and physician labor supply: a review of the evidence. Int Rev Law Econ. 2015;42:192-202.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