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risk is unrelated to physician or hospital decline in 12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A decision-analytics framework removes size confounding and sparse-panel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Equivalence, bootstrap, and power diagnostics support an informative null.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JOCS-CP effect is exploratory and not robust to small-cluster inference.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Behavioural-economics mechanisms and structural incentives explain the null.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