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MS Mincho" w:hAnsi="MS Mincho" w:eastAsia="MS Mincho"/>
          <w:b/>
          <w:i w:val="0"/>
          <w:sz w:val="22"/>
        </w:rPr>
        <w:t>原著論文</w:t>
      </w:r>
    </w:p>
    <w:p/>
    <w:p>
      <w:pPr>
        <w:spacing w:after="360"/>
        <w:jc w:val="center"/>
      </w:pPr>
      <w:r>
        <w:rPr>
          <w:rFonts w:ascii="MS Mincho" w:hAnsi="MS Mincho" w:eastAsia="MS Mincho"/>
          <w:b/>
          <w:i w:val="0"/>
          <w:sz w:val="30"/>
        </w:rPr>
        <w:t>ゼロ校正で補正できないもの：観血的動脈圧モニタリングにおけるゼロ校正後の残存ゲイン誤差と動的応答誤差の検出</w:t>
      </w:r>
    </w:p>
    <w:p>
      <w:pPr>
        <w:spacing w:after="120"/>
        <w:jc w:val="center"/>
      </w:pPr>
      <w:r>
        <w:rPr>
          <w:rFonts w:ascii="MS Mincho" w:hAnsi="MS Mincho" w:eastAsia="MS Mincho"/>
          <w:b w:val="0"/>
          <w:i/>
          <w:sz w:val="22"/>
        </w:rPr>
        <w:t>ランニングタイトル：ゼロ校正で補正できないもの</w:t>
      </w:r>
    </w:p>
    <w:p/>
    <w:p>
      <w:pPr>
        <w:spacing w:after="120"/>
        <w:jc w:val="center"/>
      </w:pPr>
      <w:r>
        <w:rPr>
          <w:rFonts w:ascii="MS Mincho" w:hAnsi="MS Mincho" w:eastAsia="MS Mincho"/>
          <w:b w:val="0"/>
          <w:i w:val="0"/>
          <w:sz w:val="22"/>
        </w:rPr>
        <w:t>[著者名は後日記入]</w:t>
      </w:r>
    </w:p>
    <w:p>
      <w:pPr>
        <w:spacing w:after="120"/>
        <w:jc w:val="center"/>
      </w:pPr>
      <w:r>
        <w:rPr>
          <w:rFonts w:ascii="MS Mincho" w:hAnsi="MS Mincho" w:eastAsia="MS Mincho"/>
          <w:b w:val="0"/>
          <w:i w:val="0"/>
          <w:sz w:val="22"/>
        </w:rPr>
        <w:t>[所属は後日記入]</w:t>
      </w:r>
    </w:p>
    <w:p/>
    <w:p>
      <w:pPr>
        <w:spacing w:after="120"/>
      </w:pPr>
      <w:r>
        <w:rPr>
          <w:rFonts w:ascii="MS Mincho" w:hAnsi="MS Mincho" w:eastAsia="MS Mincho"/>
          <w:b/>
          <w:i w:val="0"/>
          <w:sz w:val="22"/>
        </w:rPr>
        <w:t>責任著者：</w:t>
      </w:r>
    </w:p>
    <w:p>
      <w:pPr>
        <w:spacing w:after="120"/>
      </w:pPr>
      <w:r>
        <w:rPr>
          <w:rFonts w:ascii="MS Mincho" w:hAnsi="MS Mincho" w:eastAsia="MS Mincho"/>
          <w:b w:val="0"/>
          <w:i w:val="0"/>
          <w:sz w:val="22"/>
        </w:rPr>
        <w:t>[氏名、住所、電子メール、ORCID]</w:t>
      </w:r>
    </w:p>
    <w:p/>
    <w:p>
      <w:pPr>
        <w:spacing w:after="120"/>
      </w:pPr>
      <w:r>
        <w:rPr>
          <w:rFonts w:ascii="MS Mincho" w:hAnsi="MS Mincho" w:eastAsia="MS Mincho"/>
          <w:b w:val="0"/>
          <w:i w:val="0"/>
          <w:sz w:val="22"/>
        </w:rPr>
        <w:t>キーワード：動脈圧モニタリング；ゼロ校正；一致相関係数；Bland–Altman 解析；比例バイアス；動的応答；ファストフラッシュ試験；測定法間比較</w:t>
      </w:r>
    </w:p>
    <w:p>
      <w:r>
        <w:br w:type="page"/>
      </w:r>
    </w:p>
    <w:p>
      <w:pPr>
        <w:pStyle w:val="Heading1"/>
      </w:pPr>
      <w:r>
        <w:rPr>
          <w:rFonts w:ascii="MS Mincho" w:hAnsi="MS Mincho" w:eastAsia="MS Mincho"/>
          <w:b/>
          <w:i w:val="0"/>
          <w:color w:val="000000"/>
          <w:sz w:val="26"/>
        </w:rPr>
        <w:t>要旨</w:t>
      </w:r>
    </w:p>
    <w:p>
      <w:pPr>
        <w:spacing w:after="40"/>
      </w:pPr>
      <w:r>
        <w:rPr>
          <w:rFonts w:ascii="MS Mincho" w:hAnsi="MS Mincho" w:eastAsia="MS Mincho"/>
          <w:b/>
          <w:i w:val="0"/>
          <w:sz w:val="22"/>
        </w:rPr>
        <w:t>目的</w:t>
      </w:r>
    </w:p>
    <w:p>
      <w:pPr>
        <w:spacing w:after="120"/>
      </w:pPr>
      <w:r>
        <w:rPr>
          <w:rFonts w:ascii="MS Mincho" w:hAnsi="MS Mincho" w:eastAsia="MS Mincho"/>
          <w:b w:val="0"/>
          <w:i w:val="0"/>
          <w:sz w:val="22"/>
        </w:rPr>
        <w:t>観血的動脈圧トランスデューサのゼロ校正は直流（DC）オフセットを除去するが、センサのゲイン（スケール）誤差は補正しない。本研究では、機器バリデーション研究で一般に報告される解析のうち、ゼロ校正後に残存するゲイン誤差を実際に検出できるのはどれか、また周波数依存の動的応答誤差がどのように振る舞うかを検討した。</w:t>
      </w:r>
    </w:p>
    <w:p>
      <w:pPr>
        <w:spacing w:after="40"/>
      </w:pPr>
      <w:r>
        <w:rPr>
          <w:rFonts w:ascii="MS Mincho" w:hAnsi="MS Mincho" w:eastAsia="MS Mincho"/>
          <w:b/>
          <w:i w:val="0"/>
          <w:sz w:val="22"/>
        </w:rPr>
        <w:t>方法</w:t>
      </w:r>
    </w:p>
    <w:p>
      <w:pPr>
        <w:spacing w:after="120"/>
      </w:pPr>
      <w:r>
        <w:rPr>
          <w:rFonts w:ascii="MS Mincho" w:hAnsi="MS Mincho" w:eastAsia="MS Mincho"/>
          <w:b w:val="0"/>
          <w:i w:val="0"/>
          <w:sz w:val="22"/>
        </w:rPr>
        <w:t>シード固定のシミュレーションにより、機器と基準の対応する収縮期圧（各シナリオ n = 150）を4条件で生成した：オフセットのみ、理想的ゼロ校正、未補正ゲイン誤差、補正オフセットで隠れたゲイン誤差。各条件を、最小限の Bland–Altman 要約（平均バイアス・一致限界）、Bland–Altman の差対平均回帰、Deming 回帰、Passing–Bablok 回帰、および Lin の一致相関係数（CCC）とそのスケールシフト成分で評価した。合成動脈圧波形を、最適・低制動・過制動の2次カテーテル–トランスデューサ系に通した。</w:t>
      </w:r>
    </w:p>
    <w:p>
      <w:pPr>
        <w:spacing w:after="40"/>
      </w:pPr>
      <w:r>
        <w:rPr>
          <w:rFonts w:ascii="MS Mincho" w:hAnsi="MS Mincho" w:eastAsia="MS Mincho"/>
          <w:b/>
          <w:i w:val="0"/>
          <w:sz w:val="22"/>
        </w:rPr>
        <w:t>結果</w:t>
      </w:r>
    </w:p>
    <w:p>
      <w:pPr>
        <w:spacing w:after="120"/>
      </w:pPr>
      <w:r>
        <w:rPr>
          <w:rFonts w:ascii="MS Mincho" w:hAnsi="MS Mincho" w:eastAsia="MS Mincho"/>
          <w:b w:val="0"/>
          <w:i w:val="0"/>
          <w:sz w:val="22"/>
        </w:rPr>
        <w:t>10%のゲイン誤差が補正オフセットで隠された場合、平均バイアスは+0.3 mmHg（一見許容範囲）であったが、Bland–Altman 回帰の傾き（0.103）、Deming の傾き（1.109）、Passing–Bablok の傾き（1.111）、CCC スケールシフト（v = 1.108）はいずれも検出した。低制動は脈圧を24%過大評価し、過制動は8%減衰させた。これらはゼロ校正後も残存し、ファストフラッシュ試験で診断される。単一機器では標本圧の範囲が広がると CCC が上昇した（0.60 から 0.96）。</w:t>
      </w:r>
    </w:p>
    <w:p>
      <w:pPr>
        <w:spacing w:after="40"/>
      </w:pPr>
      <w:r>
        <w:rPr>
          <w:rFonts w:ascii="MS Mincho" w:hAnsi="MS Mincho" w:eastAsia="MS Mincho"/>
          <w:b/>
          <w:i w:val="0"/>
          <w:sz w:val="22"/>
        </w:rPr>
        <w:t>結論</w:t>
      </w:r>
    </w:p>
    <w:p>
      <w:pPr>
        <w:spacing w:after="120"/>
      </w:pPr>
      <w:r>
        <w:rPr>
          <w:rFonts w:ascii="MS Mincho" w:hAnsi="MS Mincho" w:eastAsia="MS Mincho"/>
          <w:b w:val="0"/>
          <w:i w:val="0"/>
          <w:sz w:val="22"/>
        </w:rPr>
        <w:t>平均バイアスと一致限界のみの要約は臨床的に重要なゲイン誤差を見逃しうる。比例バイアスを検出できる解析と、明示的な動的応答チェックを併せて報告すべきである。</w:t>
      </w:r>
    </w:p>
    <w:p>
      <w:r>
        <w:br w:type="page"/>
      </w:r>
    </w:p>
    <w:p>
      <w:pPr>
        <w:pStyle w:val="Heading1"/>
      </w:pPr>
      <w:r>
        <w:rPr>
          <w:rFonts w:ascii="MS Mincho" w:hAnsi="MS Mincho" w:eastAsia="MS Mincho"/>
          <w:b/>
          <w:i w:val="0"/>
          <w:color w:val="000000"/>
          <w:sz w:val="26"/>
        </w:rPr>
        <w:t>1. 序論</w:t>
      </w:r>
    </w:p>
    <w:p>
      <w:pPr>
        <w:spacing w:after="120"/>
      </w:pPr>
      <w:r>
        <w:rPr>
          <w:rFonts w:ascii="MS Mincho" w:hAnsi="MS Mincho" w:eastAsia="MS Mincho"/>
          <w:b w:val="0"/>
          <w:i w:val="0"/>
          <w:sz w:val="22"/>
        </w:rPr>
        <w:t>観血的動脈圧モニタリングは麻酔・集中治療で最も頻繁に行われる測定の一つである。動脈カテーテル挿入後、臨床医はモニタリング開始前に静水圧基準点（phlebostatic axis）の高さで圧トランスデューサを大気圧にゼロ校正し</w:t>
      </w:r>
      <w:r>
        <w:rPr>
          <w:rFonts w:ascii="MS Mincho" w:hAnsi="MS Mincho" w:eastAsia="MS Mincho"/>
          <w:b w:val="0"/>
          <w:i w:val="0"/>
          <w:sz w:val="22"/>
          <w:vertAlign w:val="superscript"/>
        </w:rPr>
        <w:t>1–2</w:t>
      </w:r>
      <w:r>
        <w:rPr>
          <w:rFonts w:ascii="MS Mincho" w:hAnsi="MS Mincho" w:eastAsia="MS Mincho"/>
          <w:b w:val="0"/>
          <w:i w:val="0"/>
          <w:sz w:val="22"/>
        </w:rPr>
        <w:t>、トランスデューサとカテーテルの高さ関係が変化するたびにゼロ校正を繰り返す</w:t>
      </w:r>
      <w:r>
        <w:rPr>
          <w:rFonts w:ascii="MS Mincho" w:hAnsi="MS Mincho" w:eastAsia="MS Mincho"/>
          <w:b w:val="0"/>
          <w:i w:val="0"/>
          <w:sz w:val="22"/>
          <w:vertAlign w:val="superscript"/>
        </w:rPr>
        <w:t>3</w:t>
      </w:r>
      <w:r>
        <w:rPr>
          <w:rFonts w:ascii="MS Mincho" w:hAnsi="MS Mincho" w:eastAsia="MS Mincho"/>
          <w:b w:val="0"/>
          <w:i w:val="0"/>
          <w:sz w:val="22"/>
        </w:rPr>
        <w:t>。</w:t>
      </w:r>
    </w:p>
    <w:p>
      <w:pPr>
        <w:spacing w:after="120"/>
      </w:pPr>
      <w:r>
        <w:rPr>
          <w:rFonts w:ascii="MS Mincho" w:hAnsi="MS Mincho" w:eastAsia="MS Mincho"/>
          <w:b w:val="0"/>
          <w:i w:val="0"/>
          <w:sz w:val="22"/>
        </w:rPr>
        <w:t>液体充填式動脈ラインでは、外部トランスデューサが生理食塩水の液柱でカテーテル先端に接続され、これが直流（DC）オフセットを生じる：トランスデューサと測定点の静水圧差、ゲージ圧の大気基準、緩徐なトランスデューサドリフトである</w:t>
      </w:r>
      <w:r>
        <w:rPr>
          <w:rFonts w:ascii="MS Mincho" w:hAnsi="MS Mincho" w:eastAsia="MS Mincho"/>
          <w:b w:val="0"/>
          <w:i w:val="0"/>
          <w:sz w:val="22"/>
          <w:vertAlign w:val="superscript"/>
        </w:rPr>
        <w:t>4–5</w:t>
      </w:r>
      <w:r>
        <w:rPr>
          <w:rFonts w:ascii="MS Mincho" w:hAnsi="MS Mincho" w:eastAsia="MS Mincho"/>
          <w:b w:val="0"/>
          <w:i w:val="0"/>
          <w:sz w:val="22"/>
        </w:rPr>
        <w:t>。ゼロ校正はこれらのオフセットを一括して除去する。</w:t>
      </w:r>
    </w:p>
    <w:p>
      <w:pPr>
        <w:spacing w:after="120"/>
      </w:pPr>
      <w:r>
        <w:rPr>
          <w:rFonts w:ascii="MS Mincho" w:hAnsi="MS Mincho" w:eastAsia="MS Mincho"/>
          <w:b w:val="0"/>
          <w:i w:val="0"/>
          <w:sz w:val="22"/>
        </w:rPr>
        <w:t>しかしゼロ校正はオフセット補正にすぎず、系のゲイン（感度）—真の圧変化と表示値の比例関係—を検証しない。ゲインが誤っていれば波形はスケールされ、誤差はゼロ校正後も残存する。第二の周波数依存のゲイン誤差は液体充填系の動的応答に由来する：低制動または過制動は拍動信号、したがって脈圧を歪める</w:t>
      </w:r>
      <w:r>
        <w:rPr>
          <w:rFonts w:ascii="MS Mincho" w:hAnsi="MS Mincho" w:eastAsia="MS Mincho"/>
          <w:b w:val="0"/>
          <w:i w:val="0"/>
          <w:sz w:val="22"/>
          <w:vertAlign w:val="superscript"/>
        </w:rPr>
        <w:t>6</w:t>
      </w:r>
      <w:r>
        <w:rPr>
          <w:rFonts w:ascii="MS Mincho" w:hAnsi="MS Mincho" w:eastAsia="MS Mincho"/>
          <w:b w:val="0"/>
          <w:i w:val="0"/>
          <w:sz w:val="22"/>
        </w:rPr>
        <w:t>。</w:t>
      </w:r>
    </w:p>
    <w:p>
      <w:pPr>
        <w:spacing w:after="120"/>
      </w:pPr>
      <w:r>
        <w:rPr>
          <w:rFonts w:ascii="MS Mincho" w:hAnsi="MS Mincho" w:eastAsia="MS Mincho"/>
          <w:b w:val="0"/>
          <w:i w:val="0"/>
          <w:sz w:val="22"/>
        </w:rPr>
        <w:t>それでもゼロ校正はベッドサイドで不可欠である。これらのオフセットは「工場で直せる機器の欠陥」ではなく、設置ごと・時間ごとに変化する物理量だからである。静水圧柱は静水圧基準点に対するトランスデューサの高さに依存し（約10 cmあたり7.5 mmHg）、患者やトランスデューサを動かすたびに変化する</w:t>
      </w:r>
      <w:r>
        <w:rPr>
          <w:rFonts w:ascii="MS Mincho" w:hAnsi="MS Mincho" w:eastAsia="MS Mincho"/>
          <w:b w:val="0"/>
          <w:i w:val="0"/>
          <w:sz w:val="22"/>
          <w:vertAlign w:val="superscript"/>
        </w:rPr>
        <w:t>3</w:t>
      </w:r>
      <w:r>
        <w:rPr>
          <w:rFonts w:ascii="MS Mincho" w:hAnsi="MS Mincho" w:eastAsia="MS Mincho"/>
          <w:b w:val="0"/>
          <w:i w:val="0"/>
          <w:sz w:val="22"/>
        </w:rPr>
        <w:t>。ゲージ圧の大気基準は天候や標高で変動し、電気的・熱的ドリフトは経時的に蓄積する</w:t>
      </w:r>
      <w:r>
        <w:rPr>
          <w:rFonts w:ascii="MS Mincho" w:hAnsi="MS Mincho" w:eastAsia="MS Mincho"/>
          <w:b w:val="0"/>
          <w:i w:val="0"/>
          <w:sz w:val="22"/>
          <w:vertAlign w:val="superscript"/>
        </w:rPr>
        <w:t>4–5</w:t>
      </w:r>
      <w:r>
        <w:rPr>
          <w:rFonts w:ascii="MS Mincho" w:hAnsi="MS Mincho" w:eastAsia="MS Mincho"/>
          <w:b w:val="0"/>
          <w:i w:val="0"/>
          <w:sz w:val="22"/>
        </w:rPr>
        <w:t>。重要なのは、検出は補正ではなく、両者はレイヤーが異なるという点である。Bland–Altman 回帰などの測定法間比較解析は、対応する基準測定を必要とする事後的な検証手法であり、目の前の患者にリアルタイムの基準は存在しない。ゼロ校正は、基準なしで既知の設置固有オフセットを事前に除去できる唯一の手続きである。回帰でオフセットが見えたとしても、それを除去するにはやはりゼロ校正が要る。すなわちゼロ校正は運用上オフセットを補正し、回帰と CCC 分解は残存するゲインと構造を検出するものであって、いずれも他方を代替できない。</w:t>
      </w:r>
    </w:p>
    <w:p>
      <w:pPr>
        <w:spacing w:after="120"/>
      </w:pPr>
      <w:r>
        <w:rPr>
          <w:rFonts w:ascii="MS Mincho" w:hAnsi="MS Mincho" w:eastAsia="MS Mincho"/>
          <w:b w:val="0"/>
          <w:i w:val="0"/>
          <w:sz w:val="22"/>
        </w:rPr>
        <w:t>動脈圧および派生血行動態モニタのバリデーション研究は、圧倒的に Bland–Altman 要約（平均バイアスと95%一致限界）</w:t>
      </w:r>
      <w:r>
        <w:rPr>
          <w:rFonts w:ascii="MS Mincho" w:hAnsi="MS Mincho" w:eastAsia="MS Mincho"/>
          <w:b w:val="0"/>
          <w:i w:val="0"/>
          <w:sz w:val="22"/>
          <w:vertAlign w:val="superscript"/>
        </w:rPr>
        <w:t>7</w:t>
      </w:r>
      <w:r>
        <w:rPr>
          <w:rFonts w:ascii="MS Mincho" w:hAnsi="MS Mincho" w:eastAsia="MS Mincho"/>
          <w:b w:val="0"/>
          <w:i w:val="0"/>
          <w:sz w:val="22"/>
        </w:rPr>
        <w:t>と Critchley の誤差率</w:t>
      </w:r>
      <w:r>
        <w:rPr>
          <w:rFonts w:ascii="MS Mincho" w:hAnsi="MS Mincho" w:eastAsia="MS Mincho"/>
          <w:b w:val="0"/>
          <w:i w:val="0"/>
          <w:sz w:val="22"/>
          <w:vertAlign w:val="superscript"/>
        </w:rPr>
        <w:t>8</w:t>
      </w:r>
      <w:r>
        <w:rPr>
          <w:rFonts w:ascii="MS Mincho" w:hAnsi="MS Mincho" w:eastAsia="MS Mincho"/>
          <w:b w:val="0"/>
          <w:i w:val="0"/>
          <w:sz w:val="22"/>
        </w:rPr>
        <w:t>を、基準法の精度に留意しつつ</w:t>
      </w:r>
      <w:r>
        <w:rPr>
          <w:rFonts w:ascii="MS Mincho" w:hAnsi="MS Mincho" w:eastAsia="MS Mincho"/>
          <w:b w:val="0"/>
          <w:i w:val="0"/>
          <w:sz w:val="22"/>
          <w:vertAlign w:val="superscript"/>
        </w:rPr>
        <w:t>9</w:t>
      </w:r>
      <w:r>
        <w:rPr>
          <w:rFonts w:ascii="MS Mincho" w:hAnsi="MS Mincho" w:eastAsia="MS Mincho"/>
          <w:b w:val="0"/>
          <w:i w:val="0"/>
          <w:sz w:val="22"/>
        </w:rPr>
        <w:t>報告している。本来の Bland–Altman 法は比例バイアスを検出するための差の平均に対する回帰も含むが</w:t>
      </w:r>
      <w:r>
        <w:rPr>
          <w:rFonts w:ascii="MS Mincho" w:hAnsi="MS Mincho" w:eastAsia="MS Mincho"/>
          <w:b w:val="0"/>
          <w:i w:val="0"/>
          <w:sz w:val="22"/>
          <w:vertAlign w:val="superscript"/>
        </w:rPr>
        <w:t>10</w:t>
      </w:r>
      <w:r>
        <w:rPr>
          <w:rFonts w:ascii="MS Mincho" w:hAnsi="MS Mincho" w:eastAsia="MS Mincho"/>
          <w:b w:val="0"/>
          <w:i w:val="0"/>
          <w:sz w:val="22"/>
        </w:rPr>
        <w:t>、この手順はしばしば省略され、オフセットとゲイン誤差が部分的に相殺する場合、平均バイアスのみの要約は誤解を招きうる。</w:t>
      </w:r>
    </w:p>
    <w:p>
      <w:pPr>
        <w:spacing w:after="120"/>
      </w:pPr>
      <w:r>
        <w:rPr>
          <w:rFonts w:ascii="MS Mincho" w:hAnsi="MS Mincho" w:eastAsia="MS Mincho"/>
          <w:b w:val="0"/>
          <w:i w:val="0"/>
          <w:sz w:val="22"/>
        </w:rPr>
        <w:t>本研究は、適切に実施された Bland–Altman 解析にゲイン誤差が見えないと主張するものではない。むしろ再現可能なシミュレーションを用いて、文献で実際に報告される解析のうちゼロ校正後の残存ゲイン誤差を検出できるものを定量化し、Lin の一致相関係数（CCC）とそのスケールシフト成分</w:t>
      </w:r>
      <w:r>
        <w:rPr>
          <w:rFonts w:ascii="MS Mincho" w:hAnsi="MS Mincho" w:eastAsia="MS Mincho"/>
          <w:b w:val="0"/>
          <w:i w:val="0"/>
          <w:sz w:val="22"/>
          <w:vertAlign w:val="superscript"/>
        </w:rPr>
        <w:t>11–12</w:t>
      </w:r>
      <w:r>
        <w:rPr>
          <w:rFonts w:ascii="MS Mincho" w:hAnsi="MS Mincho" w:eastAsia="MS Mincho"/>
          <w:b w:val="0"/>
          <w:i w:val="0"/>
          <w:sz w:val="22"/>
        </w:rPr>
        <w:t>、および Deming</w:t>
      </w:r>
      <w:r>
        <w:rPr>
          <w:rFonts w:ascii="MS Mincho" w:hAnsi="MS Mincho" w:eastAsia="MS Mincho"/>
          <w:b w:val="0"/>
          <w:i w:val="0"/>
          <w:sz w:val="22"/>
          <w:vertAlign w:val="superscript"/>
        </w:rPr>
        <w:t>13</w:t>
      </w:r>
      <w:r>
        <w:rPr>
          <w:rFonts w:ascii="MS Mincho" w:hAnsi="MS Mincho" w:eastAsia="MS Mincho"/>
          <w:b w:val="0"/>
          <w:i w:val="0"/>
          <w:sz w:val="22"/>
        </w:rPr>
        <w:t>・Passing–Bablok</w:t>
      </w:r>
      <w:r>
        <w:rPr>
          <w:rFonts w:ascii="MS Mincho" w:hAnsi="MS Mincho" w:eastAsia="MS Mincho"/>
          <w:b w:val="0"/>
          <w:i w:val="0"/>
          <w:sz w:val="22"/>
          <w:vertAlign w:val="superscript"/>
        </w:rPr>
        <w:t>14</w:t>
      </w:r>
      <w:r>
        <w:rPr>
          <w:rFonts w:ascii="MS Mincho" w:hAnsi="MS Mincho" w:eastAsia="MS Mincho"/>
          <w:b w:val="0"/>
          <w:i w:val="0"/>
          <w:sz w:val="22"/>
        </w:rPr>
        <w:t>回帰を補完的診断として位置づける。さらに液体充填式動脈ラインに特に臨床的に重要な動的応答（制動）誤差を統合し、CCC の範囲依存性</w:t>
      </w:r>
      <w:r>
        <w:rPr>
          <w:rFonts w:ascii="MS Mincho" w:hAnsi="MS Mincho" w:eastAsia="MS Mincho"/>
          <w:b w:val="0"/>
          <w:i w:val="0"/>
          <w:sz w:val="22"/>
          <w:vertAlign w:val="superscript"/>
        </w:rPr>
        <w:t>15–16</w:t>
      </w:r>
      <w:r>
        <w:rPr>
          <w:rFonts w:ascii="MS Mincho" w:hAnsi="MS Mincho" w:eastAsia="MS Mincho"/>
          <w:b w:val="0"/>
          <w:i w:val="0"/>
          <w:sz w:val="22"/>
        </w:rPr>
        <w:t>を論じる。</w:t>
      </w:r>
    </w:p>
    <w:p>
      <w:pPr>
        <w:pStyle w:val="Heading1"/>
      </w:pPr>
      <w:r>
        <w:rPr>
          <w:rFonts w:ascii="MS Mincho" w:hAnsi="MS Mincho" w:eastAsia="MS Mincho"/>
          <w:b/>
          <w:i w:val="0"/>
          <w:color w:val="000000"/>
          <w:sz w:val="26"/>
        </w:rPr>
        <w:t>2. 方法</w:t>
      </w:r>
    </w:p>
    <w:p>
      <w:pPr>
        <w:pStyle w:val="Heading2"/>
      </w:pPr>
      <w:r>
        <w:rPr>
          <w:rFonts w:ascii="MS Mincho" w:hAnsi="MS Mincho" w:eastAsia="MS Mincho"/>
          <w:b/>
          <w:i w:val="0"/>
          <w:color w:val="000000"/>
          <w:sz w:val="24"/>
        </w:rPr>
        <w:t>2.1. DC 成分と AC 成分としての動脈圧</w:t>
      </w:r>
    </w:p>
    <w:p>
      <w:pPr>
        <w:spacing w:after="120"/>
      </w:pPr>
      <w:r>
        <w:rPr>
          <w:rFonts w:ascii="MS Mincho" w:hAnsi="MS Mincho" w:eastAsia="MS Mincho"/>
          <w:b w:val="0"/>
          <w:i w:val="0"/>
          <w:sz w:val="22"/>
        </w:rPr>
        <w:t>動脈圧波形は、緩徐に変化する DC 水準（平均動脈圧と外部オフセット）と、心拍出による拍動性交流（AC）成分に分解できる。脈圧（PP = 収縮期圧 [SBP] − 拡張期圧 [DBP]）は純粋な AC 量であり、加法的な DC オフセットとは独立だがセンサゲインに比例する（図1）。オフセットは PP を変えずに基線を移動させ、ゲイン誤差は波形全体をスケールして PP を変化させる。</w:t>
      </w:r>
    </w:p>
    <w:p>
      <w:pPr>
        <w:jc w:val="center"/>
      </w:pPr>
      <w:r>
        <w:drawing>
          <wp:inline xmlns:a="http://schemas.openxmlformats.org/drawingml/2006/main" xmlns:pic="http://schemas.openxmlformats.org/drawingml/2006/picture">
            <wp:extent cx="5669280" cy="2164634"/>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669280" cy="2164634"/>
                    </a:xfrm>
                    <a:prstGeom prst="rect"/>
                  </pic:spPr>
                </pic:pic>
              </a:graphicData>
            </a:graphic>
          </wp:inline>
        </w:drawing>
      </w:r>
    </w:p>
    <w:p>
      <w:pPr>
        <w:spacing w:before="240" w:after="240"/>
      </w:pPr>
      <w:r>
        <w:rPr>
          <w:rFonts w:ascii="MS Mincho" w:hAnsi="MS Mincho" w:eastAsia="MS Mincho"/>
          <w:b w:val="0"/>
          <w:i/>
          <w:sz w:val="18"/>
        </w:rPr>
        <w:t>図1. 動脈圧信号の分解。(A) DC オフセットは基線を移動させるが脈圧は不変。(B) ゲイン誤差は波形全体をスケールし、脈圧はゲインに比例して変化する。ゼロ校正は (A) のオフセットを補正するが (B) のゲイン誤差は補正できない。</w:t>
      </w:r>
    </w:p>
    <w:p>
      <w:pPr>
        <w:pStyle w:val="Heading2"/>
      </w:pPr>
      <w:r>
        <w:rPr>
          <w:rFonts w:ascii="MS Mincho" w:hAnsi="MS Mincho" w:eastAsia="MS Mincho"/>
          <w:b/>
          <w:i w:val="0"/>
          <w:color w:val="000000"/>
          <w:sz w:val="24"/>
        </w:rPr>
        <w:t>2.2. 統計手法</w:t>
      </w:r>
    </w:p>
    <w:p>
      <w:pPr>
        <w:spacing w:after="120"/>
      </w:pPr>
      <w:r>
        <w:rPr>
          <w:rFonts w:ascii="MS Mincho" w:hAnsi="MS Mincho" w:eastAsia="MS Mincho"/>
          <w:b w:val="0"/>
          <w:i w:val="0"/>
          <w:sz w:val="22"/>
        </w:rPr>
        <w:t>各対応データに対し次を算出した：(i) 最小限の Bland–Altman 要約—平均バイアス、95%一致限界（平均バイアス ± 1.96 SD）、誤差率</w:t>
      </w:r>
      <w:r>
        <w:rPr>
          <w:rFonts w:ascii="MS Mincho" w:hAnsi="MS Mincho" w:eastAsia="MS Mincho"/>
          <w:b w:val="0"/>
          <w:i w:val="0"/>
          <w:sz w:val="22"/>
          <w:vertAlign w:val="superscript"/>
        </w:rPr>
        <w:t>8</w:t>
      </w:r>
      <w:r>
        <w:rPr>
          <w:rFonts w:ascii="MS Mincho" w:hAnsi="MS Mincho" w:eastAsia="MS Mincho"/>
          <w:b w:val="0"/>
          <w:i w:val="0"/>
          <w:sz w:val="22"/>
        </w:rPr>
        <w:t>；(ii) 差の平均に対する Bland–Altman 回帰（傾きが比例バイアスを検定）</w:t>
      </w:r>
      <w:r>
        <w:rPr>
          <w:rFonts w:ascii="MS Mincho" w:hAnsi="MS Mincho" w:eastAsia="MS Mincho"/>
          <w:b w:val="0"/>
          <w:i w:val="0"/>
          <w:sz w:val="22"/>
          <w:vertAlign w:val="superscript"/>
        </w:rPr>
        <w:t>10</w:t>
      </w:r>
      <w:r>
        <w:rPr>
          <w:rFonts w:ascii="MS Mincho" w:hAnsi="MS Mincho" w:eastAsia="MS Mincho"/>
          <w:b w:val="0"/>
          <w:i w:val="0"/>
          <w:sz w:val="22"/>
        </w:rPr>
        <w:t>；(iii) 両法の誤差を許容しジャックナイフ信頼区間を付した Deming 回帰</w:t>
      </w:r>
      <w:r>
        <w:rPr>
          <w:rFonts w:ascii="MS Mincho" w:hAnsi="MS Mincho" w:eastAsia="MS Mincho"/>
          <w:b w:val="0"/>
          <w:i w:val="0"/>
          <w:sz w:val="22"/>
          <w:vertAlign w:val="superscript"/>
        </w:rPr>
        <w:t>13</w:t>
      </w:r>
      <w:r>
        <w:rPr>
          <w:rFonts w:ascii="MS Mincho" w:hAnsi="MS Mincho" w:eastAsia="MS Mincho"/>
          <w:b w:val="0"/>
          <w:i w:val="0"/>
          <w:sz w:val="22"/>
        </w:rPr>
        <w:t>；(iv) Passing–Bablok ノンパラメトリック回帰</w:t>
      </w:r>
      <w:r>
        <w:rPr>
          <w:rFonts w:ascii="MS Mincho" w:hAnsi="MS Mincho" w:eastAsia="MS Mincho"/>
          <w:b w:val="0"/>
          <w:i w:val="0"/>
          <w:sz w:val="22"/>
          <w:vertAlign w:val="superscript"/>
        </w:rPr>
        <w:t>14</w:t>
      </w:r>
      <w:r>
        <w:rPr>
          <w:rFonts w:ascii="MS Mincho" w:hAnsi="MS Mincho" w:eastAsia="MS Mincho"/>
          <w:b w:val="0"/>
          <w:i w:val="0"/>
          <w:sz w:val="22"/>
        </w:rPr>
        <w:t>；(v) Lin の CCC</w:t>
      </w:r>
      <w:r>
        <w:rPr>
          <w:rFonts w:ascii="MS Mincho" w:hAnsi="MS Mincho" w:eastAsia="MS Mincho"/>
          <w:b w:val="0"/>
          <w:i w:val="0"/>
          <w:sz w:val="22"/>
          <w:vertAlign w:val="superscript"/>
        </w:rPr>
        <w:t>11</w:t>
      </w:r>
      <w:r>
        <w:rPr>
          <w:rFonts w:ascii="MS Mincho" w:hAnsi="MS Mincho" w:eastAsia="MS Mincho"/>
          <w:b w:val="0"/>
          <w:i w:val="0"/>
          <w:sz w:val="22"/>
        </w:rPr>
        <w:t>。</w:t>
      </w:r>
    </w:p>
    <w:p>
      <w:pPr>
        <w:spacing w:after="120"/>
      </w:pPr>
      <w:r>
        <w:rPr>
          <w:rFonts w:ascii="MS Mincho" w:hAnsi="MS Mincho" w:eastAsia="MS Mincho"/>
          <w:b w:val="0"/>
          <w:i w:val="0"/>
          <w:sz w:val="22"/>
        </w:rPr>
        <w:t>Lin の CCC（ρc）は ρc = r × C_b と分解され、r は Pearson 相関（精度）、C_b はバイアス補正係数（正確度）である</w:t>
      </w:r>
      <w:r>
        <w:rPr>
          <w:rFonts w:ascii="MS Mincho" w:hAnsi="MS Mincho" w:eastAsia="MS Mincho"/>
          <w:b w:val="0"/>
          <w:i w:val="0"/>
          <w:sz w:val="22"/>
          <w:vertAlign w:val="superscript"/>
        </w:rPr>
        <w:t>12</w:t>
      </w:r>
      <w:r>
        <w:rPr>
          <w:rFonts w:ascii="MS Mincho" w:hAnsi="MS Mincho" w:eastAsia="MS Mincho"/>
          <w:b w:val="0"/>
          <w:i w:val="0"/>
          <w:sz w:val="22"/>
        </w:rPr>
        <w:t>。C_b はさらに次のように分解される：</w:t>
      </w:r>
    </w:p>
    <w:p>
      <w:pPr>
        <w:spacing w:after="120"/>
        <w:jc w:val="center"/>
      </w:pPr>
      <w:r>
        <w:rPr>
          <w:rFonts w:ascii="MS Mincho" w:hAnsi="MS Mincho" w:eastAsia="MS Mincho"/>
          <w:b w:val="0"/>
          <w:i/>
          <w:sz w:val="22"/>
        </w:rPr>
        <w:t>C_b = 2 / (v + 1/v + u²)</w:t>
      </w:r>
    </w:p>
    <w:p>
      <w:pPr>
        <w:spacing w:after="120"/>
      </w:pPr>
      <w:r>
        <w:rPr>
          <w:rFonts w:ascii="MS Mincho" w:hAnsi="MS Mincho" w:eastAsia="MS Mincho"/>
          <w:b w:val="0"/>
          <w:i w:val="0"/>
          <w:sz w:val="22"/>
        </w:rPr>
        <w:t>ここで v = σ_device/σ_reference はスケールシフト（ゲイン比）、u = (μ_device − μ_reference)/√(σ_device σ_reference) はロケーションシフト（オフセット）である。ゼロ校正は u を0に近づけるが v は不変であり、残存ゲイン誤差は完全なゼロ校正後も v ≠ 1 を保つ。</w:t>
      </w:r>
    </w:p>
    <w:p>
      <w:pPr>
        <w:spacing w:after="120"/>
      </w:pPr>
      <w:r>
        <w:rPr>
          <w:rFonts w:ascii="MS Mincho" w:hAnsi="MS Mincho" w:eastAsia="MS Mincho"/>
          <w:b w:val="0"/>
          <w:i w:val="0"/>
          <w:sz w:val="22"/>
        </w:rPr>
        <w:t>事後的選択を避けるため、事前固定の検出基準を用いた：平均バイアス要約は |平均バイアス| &gt; 5.0 mmHg で誤差ありと判定；Bland–Altman 回帰は傾きの95%信頼区間（CI）が0を含まなければ判定；Deming と Passing–Bablok は傾きの95% CI が1を含まなければ判定；CCC スケールシフトは |v − 1| &gt; 0.05 で判定。一致の強さは既報の CCC 基準</w:t>
      </w:r>
      <w:r>
        <w:rPr>
          <w:rFonts w:ascii="MS Mincho" w:hAnsi="MS Mincho" w:eastAsia="MS Mincho"/>
          <w:b w:val="0"/>
          <w:i w:val="0"/>
          <w:sz w:val="22"/>
          <w:vertAlign w:val="superscript"/>
        </w:rPr>
        <w:t>17</w:t>
      </w:r>
      <w:r>
        <w:rPr>
          <w:rFonts w:ascii="MS Mincho" w:hAnsi="MS Mincho" w:eastAsia="MS Mincho"/>
          <w:b w:val="0"/>
          <w:i w:val="0"/>
          <w:sz w:val="22"/>
        </w:rPr>
        <w:t>で解釈した。</w:t>
      </w:r>
    </w:p>
    <w:p>
      <w:pPr>
        <w:pStyle w:val="Heading2"/>
      </w:pPr>
      <w:r>
        <w:rPr>
          <w:rFonts w:ascii="MS Mincho" w:hAnsi="MS Mincho" w:eastAsia="MS Mincho"/>
          <w:b/>
          <w:i w:val="0"/>
          <w:color w:val="000000"/>
          <w:sz w:val="24"/>
        </w:rPr>
        <w:t>2.3. 動的応答とファストフラッシュ試験</w:t>
      </w:r>
    </w:p>
    <w:p>
      <w:pPr>
        <w:spacing w:after="120"/>
      </w:pPr>
      <w:r>
        <w:rPr>
          <w:rFonts w:ascii="MS Mincho" w:hAnsi="MS Mincho" w:eastAsia="MS Mincho"/>
          <w:b w:val="0"/>
          <w:i w:val="0"/>
          <w:sz w:val="22"/>
        </w:rPr>
        <w:t>液体充填式カテーテル–トランスデューサ系は、固有周波数 f_n と制動係数 ζ で特徴づけられる2次系として振る舞う</w:t>
      </w:r>
      <w:r>
        <w:rPr>
          <w:rFonts w:ascii="MS Mincho" w:hAnsi="MS Mincho" w:eastAsia="MS Mincho"/>
          <w:b w:val="0"/>
          <w:i w:val="0"/>
          <w:sz w:val="22"/>
          <w:vertAlign w:val="superscript"/>
        </w:rPr>
        <w:t>6</w:t>
      </w:r>
      <w:r>
        <w:rPr>
          <w:rFonts w:ascii="MS Mincho" w:hAnsi="MS Mincho" w:eastAsia="MS Mincho"/>
          <w:b w:val="0"/>
          <w:i w:val="0"/>
          <w:sz w:val="22"/>
        </w:rPr>
        <w:t>。その伝達関数 H(f) = 1/[1 − (f/f_n)² + i·2ζ(f/f_n)] を合成動脈圧波形のフーリエ高調波に適用した。低制動（低 ζ、動脈高調波付近の共振）は収縮期オーバーシュートと PP の過大評価を生じ、過制動は PP を減衰させる。いずれもゼロ校正で補正できない拍動信号のゲイン誤差であり、ベッドサイドではファストフラッシュ（方形波）試験で定量される</w:t>
      </w:r>
      <w:r>
        <w:rPr>
          <w:rFonts w:ascii="MS Mincho" w:hAnsi="MS Mincho" w:eastAsia="MS Mincho"/>
          <w:b w:val="0"/>
          <w:i w:val="0"/>
          <w:sz w:val="22"/>
          <w:vertAlign w:val="superscript"/>
        </w:rPr>
        <w:t>18–19</w:t>
      </w:r>
      <w:r>
        <w:rPr>
          <w:rFonts w:ascii="MS Mincho" w:hAnsi="MS Mincho" w:eastAsia="MS Mincho"/>
          <w:b w:val="0"/>
          <w:i w:val="0"/>
          <w:sz w:val="22"/>
        </w:rPr>
        <w:t>。</w:t>
      </w:r>
    </w:p>
    <w:p>
      <w:pPr>
        <w:pStyle w:val="Heading2"/>
      </w:pPr>
      <w:r>
        <w:rPr>
          <w:rFonts w:ascii="MS Mincho" w:hAnsi="MS Mincho" w:eastAsia="MS Mincho"/>
          <w:b/>
          <w:i w:val="0"/>
          <w:color w:val="000000"/>
          <w:sz w:val="24"/>
        </w:rPr>
        <w:t>2.4. シミュレーション設計と再現性</w:t>
      </w:r>
    </w:p>
    <w:p>
      <w:pPr>
        <w:spacing w:after="120"/>
      </w:pPr>
      <w:r>
        <w:rPr>
          <w:rFonts w:ascii="MS Mincho" w:hAnsi="MS Mincho" w:eastAsia="MS Mincho"/>
          <w:b w:val="0"/>
          <w:i w:val="0"/>
          <w:sz w:val="22"/>
        </w:rPr>
        <w:t>本研究のデータはすべてシミュレーションであり、患者から測定したものではない。静的シナリオは 80.0〜180.0 mmHg に一様分布する収縮期圧 n = 150 対からなり、ガウス測定ノイズ（SD = 3.0 mmHg）を付与した：S1 オフセットのみ（+12.0 mmHg、ゲイン 1.0）；S2 理想的ゼロ校正（オフセット除去、ゲイン 1.0）；S3 未補正ゲイン誤差（ゲイン 1.10）；S4 同じゲイン誤差に、平均差がほぼ0となるよう補正的な負のオフセットを付与。動的シナリオは合成波形を最適・低制動・過制動系に通した。範囲依存性実験は、固定機器（ゲイン誤差5%）を幅の増える圧範囲で標本化した。乱数シード、全母数、および完全なパイプライン（シミュレーション→解析→図→原稿）を公開リポジトリに提供し、第三者がクリーンなクローンから全数値・表・図を再生成できるようにした。</w:t>
      </w:r>
    </w:p>
    <w:p>
      <w:pPr>
        <w:pStyle w:val="Heading1"/>
      </w:pPr>
      <w:r>
        <w:rPr>
          <w:rFonts w:ascii="MS Mincho" w:hAnsi="MS Mincho" w:eastAsia="MS Mincho"/>
          <w:b/>
          <w:i w:val="0"/>
          <w:color w:val="000000"/>
          <w:sz w:val="26"/>
        </w:rPr>
        <w:t>3. 結果</w:t>
      </w:r>
    </w:p>
    <w:p>
      <w:pPr>
        <w:pStyle w:val="Heading2"/>
      </w:pPr>
      <w:r>
        <w:rPr>
          <w:rFonts w:ascii="MS Mincho" w:hAnsi="MS Mincho" w:eastAsia="MS Mincho"/>
          <w:b/>
          <w:i w:val="0"/>
          <w:color w:val="000000"/>
          <w:sz w:val="24"/>
        </w:rPr>
        <w:t>3.1. 静的シナリオ</w:t>
      </w:r>
    </w:p>
    <w:p>
      <w:pPr>
        <w:spacing w:after="120"/>
      </w:pPr>
      <w:r>
        <w:rPr>
          <w:rFonts w:ascii="MS Mincho" w:hAnsi="MS Mincho" w:eastAsia="MS Mincho"/>
          <w:b w:val="0"/>
          <w:i w:val="0"/>
          <w:sz w:val="22"/>
        </w:rPr>
        <w:t>4つの静的シナリオの一致プロットを図2に、全指標を表1に示す。理想的ゼロ校正（S2）はほぼ完全な一致を示した（平均バイアス +0.1 mmHg、CCC 0.995、v 0.990）。未補正の10%ゲイン誤差（S3）は平均バイアス（+12.7 mmHg）を含むあらゆる解析で明白であった：ゲイン誤差は Bland–Altman 解析に見えないわけではない。</w:t>
      </w:r>
    </w:p>
    <w:p>
      <w:pPr>
        <w:jc w:val="center"/>
      </w:pPr>
      <w:r>
        <w:drawing>
          <wp:inline xmlns:a="http://schemas.openxmlformats.org/drawingml/2006/main" xmlns:pic="http://schemas.openxmlformats.org/drawingml/2006/picture">
            <wp:extent cx="5669280" cy="5102352"/>
            <wp:docPr id="2" name="Picture 2"/>
            <wp:cNvGraphicFramePr>
              <a:graphicFrameLocks noChangeAspect="1"/>
            </wp:cNvGraphicFramePr>
            <a:graphic>
              <a:graphicData uri="http://schemas.openxmlformats.org/drawingml/2006/picture">
                <pic:pic>
                  <pic:nvPicPr>
                    <pic:cNvPr id="0" name="figure2_scenarios_concordance.png"/>
                    <pic:cNvPicPr/>
                  </pic:nvPicPr>
                  <pic:blipFill>
                    <a:blip r:embed="rId10"/>
                    <a:stretch>
                      <a:fillRect/>
                    </a:stretch>
                  </pic:blipFill>
                  <pic:spPr>
                    <a:xfrm>
                      <a:off x="0" y="0"/>
                      <a:ext cx="5669280" cy="5102352"/>
                    </a:xfrm>
                    <a:prstGeom prst="rect"/>
                  </pic:spPr>
                </pic:pic>
              </a:graphicData>
            </a:graphic>
          </wp:inline>
        </w:drawing>
      </w:r>
    </w:p>
    <w:p>
      <w:pPr>
        <w:spacing w:before="240" w:after="240"/>
      </w:pPr>
      <w:r>
        <w:rPr>
          <w:rFonts w:ascii="MS Mincho" w:hAnsi="MS Mincho" w:eastAsia="MS Mincho"/>
          <w:b w:val="0"/>
          <w:i/>
          <w:sz w:val="18"/>
        </w:rPr>
        <w:t>図2. 4つの静的シナリオにおける機器対基準の一致（破線＝同一線）。各パネルに CCC、CCC スケールシフト v、Bland–Altman 平均バイアスを示す。S4 は10%のゲイン誤差にもかかわらず平均バイアスがほぼ0である。</w:t>
      </w:r>
    </w:p>
    <w:p>
      <w:pPr>
        <w:spacing w:after="120"/>
      </w:pPr>
      <w:r>
        <w:rPr>
          <w:rFonts w:ascii="MS Mincho" w:hAnsi="MS Mincho" w:eastAsia="MS Mincho"/>
          <w:b w:val="0"/>
          <w:i w:val="0"/>
          <w:sz w:val="22"/>
        </w:rPr>
        <w:t>決定的なのは S4 で、補正オフセットにより平均バイアスはわずか+0.3 mmHg（±5.0 mmHg の許容帯内）となり、最小限の Bland–Altman 要約は問題を検出しない。それでも比例バイアスを検出する解析はすべて隠れたゲイン誤差を検出する：Bland–Altman 回帰の傾き 0.103（95% CI 0.087～0.119）、Deming の傾き 1.109（95% CI 1.091～1.126）、Passing–Bablok の傾き 1.111（95% CI 1.092～1.130）、CCC スケールシフト v = 1.108。全シナリオでの検出パターンを図3に、S2 と S4 の差対平均プロットを図4に示す。</w:t>
      </w:r>
    </w:p>
    <w:p>
      <w:pPr>
        <w:jc w:val="center"/>
      </w:pPr>
      <w:r>
        <w:drawing>
          <wp:inline xmlns:a="http://schemas.openxmlformats.org/drawingml/2006/main" xmlns:pic="http://schemas.openxmlformats.org/drawingml/2006/picture">
            <wp:extent cx="5669280" cy="3334871"/>
            <wp:docPr id="3" name="Picture 3"/>
            <wp:cNvGraphicFramePr>
              <a:graphicFrameLocks noChangeAspect="1"/>
            </wp:cNvGraphicFramePr>
            <a:graphic>
              <a:graphicData uri="http://schemas.openxmlformats.org/drawingml/2006/picture">
                <pic:pic>
                  <pic:nvPicPr>
                    <pic:cNvPr id="0" name="figure3_detection_panel.png"/>
                    <pic:cNvPicPr/>
                  </pic:nvPicPr>
                  <pic:blipFill>
                    <a:blip r:embed="rId11"/>
                    <a:stretch>
                      <a:fillRect/>
                    </a:stretch>
                  </pic:blipFill>
                  <pic:spPr>
                    <a:xfrm>
                      <a:off x="0" y="0"/>
                      <a:ext cx="5669280" cy="3334871"/>
                    </a:xfrm>
                    <a:prstGeom prst="rect"/>
                  </pic:spPr>
                </pic:pic>
              </a:graphicData>
            </a:graphic>
          </wp:inline>
        </w:drawing>
      </w:r>
    </w:p>
    <w:p>
      <w:pPr>
        <w:spacing w:before="240" w:after="240"/>
      </w:pPr>
      <w:r>
        <w:rPr>
          <w:rFonts w:ascii="MS Mincho" w:hAnsi="MS Mincho" w:eastAsia="MS Mincho"/>
          <w:b w:val="0"/>
          <w:i/>
          <w:sz w:val="18"/>
        </w:rPr>
        <w:t>図3. 各シナリオでどの報告解析が誤差を検出するか（緑＝検出、灰＝見逃し）。S4 では平均バイアス要約が見逃すゲイン誤差を、比例バイアスを検出する全解析が検出する。</w:t>
      </w:r>
    </w:p>
    <w:p>
      <w:pPr>
        <w:jc w:val="center"/>
      </w:pPr>
      <w:r>
        <w:drawing>
          <wp:inline xmlns:a="http://schemas.openxmlformats.org/drawingml/2006/main" xmlns:pic="http://schemas.openxmlformats.org/drawingml/2006/picture">
            <wp:extent cx="5669280" cy="2370790"/>
            <wp:docPr id="4" name="Picture 4"/>
            <wp:cNvGraphicFramePr>
              <a:graphicFrameLocks noChangeAspect="1"/>
            </wp:cNvGraphicFramePr>
            <a:graphic>
              <a:graphicData uri="http://schemas.openxmlformats.org/drawingml/2006/picture">
                <pic:pic>
                  <pic:nvPicPr>
                    <pic:cNvPr id="0" name="figure4_ba_masked_gain.png"/>
                    <pic:cNvPicPr/>
                  </pic:nvPicPr>
                  <pic:blipFill>
                    <a:blip r:embed="rId12"/>
                    <a:stretch>
                      <a:fillRect/>
                    </a:stretch>
                  </pic:blipFill>
                  <pic:spPr>
                    <a:xfrm>
                      <a:off x="0" y="0"/>
                      <a:ext cx="5669280" cy="2370790"/>
                    </a:xfrm>
                    <a:prstGeom prst="rect"/>
                  </pic:spPr>
                </pic:pic>
              </a:graphicData>
            </a:graphic>
          </wp:inline>
        </w:drawing>
      </w:r>
    </w:p>
    <w:p>
      <w:pPr>
        <w:spacing w:before="240" w:after="240"/>
      </w:pPr>
      <w:r>
        <w:rPr>
          <w:rFonts w:ascii="MS Mincho" w:hAnsi="MS Mincho" w:eastAsia="MS Mincho"/>
          <w:b w:val="0"/>
          <w:i/>
          <w:sz w:val="18"/>
        </w:rPr>
        <w:t>図4. Bland–Altman 差対平均プロット。S2 では回帰の傾きは平坦だが、S4 では平均バイアスがほぼ0であるにもかかわらず傾きが明確に正であり、隠れた比例（ゲイン）誤差が明らかになる。</w:t>
      </w:r>
    </w:p>
    <w:p>
      <w:pPr>
        <w:pStyle w:val="Heading2"/>
      </w:pPr>
      <w:r>
        <w:rPr>
          <w:rFonts w:ascii="MS Mincho" w:hAnsi="MS Mincho" w:eastAsia="MS Mincho"/>
          <w:b/>
          <w:i w:val="0"/>
          <w:color w:val="000000"/>
          <w:sz w:val="24"/>
        </w:rPr>
        <w:t>3.2. 動的応答シナリオ</w:t>
      </w:r>
    </w:p>
    <w:p>
      <w:pPr>
        <w:spacing w:after="120"/>
      </w:pPr>
      <w:r>
        <w:rPr>
          <w:rFonts w:ascii="MS Mincho" w:hAnsi="MS Mincho" w:eastAsia="MS Mincho"/>
          <w:b w:val="0"/>
          <w:i w:val="0"/>
          <w:sz w:val="22"/>
        </w:rPr>
        <w:t>動的応答指標を表2に示し、図5で図示する。最適系は PP を忠実に再現した（PP 比 1.01）。低制動は収縮期オーバーシュートを生じ PP を24%過大評価した（PP 比 1.24、CCC スケールシフト v = 1.28）。過制動は PP を8%減衰させた（PP 比 0.92）。これらはゼロ校正後も残存する拍動信号のゲイン誤差である。歪みは周波数依存（圧振幅ではなく心拍数で変化）であるため、静的回帰統計が前提とする振幅比例モデルには部分的にしか対応せず、ファストフラッシュ試験の母数（f_n, ζ）で直接特徴づけるのが最適である。</w:t>
      </w:r>
    </w:p>
    <w:p>
      <w:pPr>
        <w:jc w:val="center"/>
      </w:pPr>
      <w:r>
        <w:drawing>
          <wp:inline xmlns:a="http://schemas.openxmlformats.org/drawingml/2006/main" xmlns:pic="http://schemas.openxmlformats.org/drawingml/2006/picture">
            <wp:extent cx="5669280" cy="2006053"/>
            <wp:docPr id="5" name="Picture 5"/>
            <wp:cNvGraphicFramePr>
              <a:graphicFrameLocks noChangeAspect="1"/>
            </wp:cNvGraphicFramePr>
            <a:graphic>
              <a:graphicData uri="http://schemas.openxmlformats.org/drawingml/2006/picture">
                <pic:pic>
                  <pic:nvPicPr>
                    <pic:cNvPr id="0" name="figure5_dynamic_response.png"/>
                    <pic:cNvPicPr/>
                  </pic:nvPicPr>
                  <pic:blipFill>
                    <a:blip r:embed="rId13"/>
                    <a:stretch>
                      <a:fillRect/>
                    </a:stretch>
                  </pic:blipFill>
                  <pic:spPr>
                    <a:xfrm>
                      <a:off x="0" y="0"/>
                      <a:ext cx="5669280" cy="2006053"/>
                    </a:xfrm>
                    <a:prstGeom prst="rect"/>
                  </pic:spPr>
                </pic:pic>
              </a:graphicData>
            </a:graphic>
          </wp:inline>
        </w:drawing>
      </w:r>
    </w:p>
    <w:p>
      <w:pPr>
        <w:spacing w:before="240" w:after="240"/>
      </w:pPr>
      <w:r>
        <w:rPr>
          <w:rFonts w:ascii="MS Mincho" w:hAnsi="MS Mincho" w:eastAsia="MS Mincho"/>
          <w:b w:val="0"/>
          <w:i/>
          <w:sz w:val="18"/>
        </w:rPr>
        <w:t>図5. カテーテル–トランスデューサ系の動的応答。(A) 最適・低制動・過制動系の周波数応答と動脈圧高調波の重ね書き。(B) 波形例。(C) 系ごとの平均 PP 比を付した計測脈圧対真の脈圧。</w:t>
      </w:r>
    </w:p>
    <w:p>
      <w:pPr>
        <w:pStyle w:val="Heading2"/>
      </w:pPr>
      <w:r>
        <w:rPr>
          <w:rFonts w:ascii="MS Mincho" w:hAnsi="MS Mincho" w:eastAsia="MS Mincho"/>
          <w:b/>
          <w:i w:val="0"/>
          <w:color w:val="000000"/>
          <w:sz w:val="24"/>
        </w:rPr>
        <w:t>3.3. CCC の範囲依存性</w:t>
      </w:r>
    </w:p>
    <w:p>
      <w:pPr>
        <w:spacing w:after="120"/>
      </w:pPr>
      <w:r>
        <w:rPr>
          <w:rFonts w:ascii="MS Mincho" w:hAnsi="MS Mincho" w:eastAsia="MS Mincho"/>
          <w:b w:val="0"/>
          <w:i w:val="0"/>
          <w:sz w:val="22"/>
        </w:rPr>
        <w:t>ゲイン誤差5%を固定した単一機器では、狭い圧範囲（幅 20 mmHg）で標本化すると CCC は 0.60 であったが、広い範囲（100 mmHg）では 0.96 に上昇し、スケールシフト v は真値近傍にとどまった（図6）。したがって CCC は標本化した圧範囲とともに報告すべきであり、構造成分（C_b, v）の方が研究間で移転可能性が高い</w:t>
      </w:r>
      <w:r>
        <w:rPr>
          <w:rFonts w:ascii="MS Mincho" w:hAnsi="MS Mincho" w:eastAsia="MS Mincho"/>
          <w:b w:val="0"/>
          <w:i w:val="0"/>
          <w:sz w:val="22"/>
          <w:vertAlign w:val="superscript"/>
        </w:rPr>
        <w:t>15</w:t>
      </w:r>
      <w:r>
        <w:rPr>
          <w:rFonts w:ascii="MS Mincho" w:hAnsi="MS Mincho" w:eastAsia="MS Mincho"/>
          <w:b w:val="0"/>
          <w:i w:val="0"/>
          <w:sz w:val="22"/>
        </w:rPr>
        <w:t>。</w:t>
      </w:r>
    </w:p>
    <w:p>
      <w:pPr>
        <w:jc w:val="center"/>
      </w:pPr>
      <w:r>
        <w:drawing>
          <wp:inline xmlns:a="http://schemas.openxmlformats.org/drawingml/2006/main" xmlns:pic="http://schemas.openxmlformats.org/drawingml/2006/picture">
            <wp:extent cx="5669280" cy="3628339"/>
            <wp:docPr id="6" name="Picture 6"/>
            <wp:cNvGraphicFramePr>
              <a:graphicFrameLocks noChangeAspect="1"/>
            </wp:cNvGraphicFramePr>
            <a:graphic>
              <a:graphicData uri="http://schemas.openxmlformats.org/drawingml/2006/picture">
                <pic:pic>
                  <pic:nvPicPr>
                    <pic:cNvPr id="0" name="figure6_range_dependence.png"/>
                    <pic:cNvPicPr/>
                  </pic:nvPicPr>
                  <pic:blipFill>
                    <a:blip r:embed="rId14"/>
                    <a:stretch>
                      <a:fillRect/>
                    </a:stretch>
                  </pic:blipFill>
                  <pic:spPr>
                    <a:xfrm>
                      <a:off x="0" y="0"/>
                      <a:ext cx="5669280" cy="3628339"/>
                    </a:xfrm>
                    <a:prstGeom prst="rect"/>
                  </pic:spPr>
                </pic:pic>
              </a:graphicData>
            </a:graphic>
          </wp:inline>
        </w:drawing>
      </w:r>
    </w:p>
    <w:p>
      <w:pPr>
        <w:spacing w:before="240" w:after="240"/>
      </w:pPr>
      <w:r>
        <w:rPr>
          <w:rFonts w:ascii="MS Mincho" w:hAnsi="MS Mincho" w:eastAsia="MS Mincho"/>
          <w:b w:val="0"/>
          <w:i/>
          <w:sz w:val="18"/>
        </w:rPr>
        <w:t>図6. CCC の範囲依存性。単一の固定機器において、標本圧範囲が広がると CCC と C_b は上昇するが、スケールシフト v は真のゲイン比の近傍にとどまる。</w:t>
      </w:r>
    </w:p>
    <w:p>
      <w:pPr>
        <w:pStyle w:val="Heading1"/>
      </w:pPr>
      <w:r>
        <w:rPr>
          <w:rFonts w:ascii="MS Mincho" w:hAnsi="MS Mincho" w:eastAsia="MS Mincho"/>
          <w:b/>
          <w:i w:val="0"/>
          <w:color w:val="000000"/>
          <w:sz w:val="26"/>
        </w:rPr>
        <w:t>4. 考察</w:t>
      </w:r>
    </w:p>
    <w:p>
      <w:pPr>
        <w:spacing w:after="120"/>
      </w:pPr>
      <w:r>
        <w:rPr>
          <w:rFonts w:ascii="MS Mincho" w:hAnsi="MS Mincho" w:eastAsia="MS Mincho"/>
          <w:b w:val="0"/>
          <w:i w:val="0"/>
          <w:sz w:val="22"/>
        </w:rPr>
        <w:t>本研究の中心的知見は限定的だが妥当と考える：機器バリデーション報告を支配する平均バイアス＋一致限界の要約は、偶然のオフセットが平均への影響を相殺する場合、臨床的に重要なゲイン誤差を見逃しうる。一方、Bland–Altman の差対平均回帰</w:t>
      </w:r>
      <w:r>
        <w:rPr>
          <w:rFonts w:ascii="MS Mincho" w:hAnsi="MS Mincho" w:eastAsia="MS Mincho"/>
          <w:b w:val="0"/>
          <w:i w:val="0"/>
          <w:sz w:val="22"/>
          <w:vertAlign w:val="superscript"/>
        </w:rPr>
        <w:t>10</w:t>
      </w:r>
      <w:r>
        <w:rPr>
          <w:rFonts w:ascii="MS Mincho" w:hAnsi="MS Mincho" w:eastAsia="MS Mincho"/>
          <w:b w:val="0"/>
          <w:i w:val="0"/>
          <w:sz w:val="22"/>
        </w:rPr>
        <w:t>、Deming</w:t>
      </w:r>
      <w:r>
        <w:rPr>
          <w:rFonts w:ascii="MS Mincho" w:hAnsi="MS Mincho" w:eastAsia="MS Mincho"/>
          <w:b w:val="0"/>
          <w:i w:val="0"/>
          <w:sz w:val="22"/>
          <w:vertAlign w:val="superscript"/>
        </w:rPr>
        <w:t>13</w:t>
      </w:r>
      <w:r>
        <w:rPr>
          <w:rFonts w:ascii="MS Mincho" w:hAnsi="MS Mincho" w:eastAsia="MS Mincho"/>
          <w:b w:val="0"/>
          <w:i w:val="0"/>
          <w:sz w:val="22"/>
        </w:rPr>
        <w:t>・Passing–Bablok</w:t>
      </w:r>
      <w:r>
        <w:rPr>
          <w:rFonts w:ascii="MS Mincho" w:hAnsi="MS Mincho" w:eastAsia="MS Mincho"/>
          <w:b w:val="0"/>
          <w:i w:val="0"/>
          <w:sz w:val="22"/>
          <w:vertAlign w:val="superscript"/>
        </w:rPr>
        <w:t>14</w:t>
      </w:r>
      <w:r>
        <w:rPr>
          <w:rFonts w:ascii="MS Mincho" w:hAnsi="MS Mincho" w:eastAsia="MS Mincho"/>
          <w:b w:val="0"/>
          <w:i w:val="0"/>
          <w:sz w:val="22"/>
        </w:rPr>
        <w:t>回帰、CCC スケールシフト</w:t>
      </w:r>
      <w:r>
        <w:rPr>
          <w:rFonts w:ascii="MS Mincho" w:hAnsi="MS Mincho" w:eastAsia="MS Mincho"/>
          <w:b w:val="0"/>
          <w:i w:val="0"/>
          <w:sz w:val="22"/>
          <w:vertAlign w:val="superscript"/>
        </w:rPr>
        <w:t>12</w:t>
      </w:r>
      <w:r>
        <w:rPr>
          <w:rFonts w:ascii="MS Mincho" w:hAnsi="MS Mincho" w:eastAsia="MS Mincho"/>
          <w:b w:val="0"/>
          <w:i w:val="0"/>
          <w:sz w:val="22"/>
        </w:rPr>
        <w:t>はいずれもこれを検出する。これは Bland–Altman 法自体ではなく、一般的な報告慣行への批判である。</w:t>
      </w:r>
    </w:p>
    <w:p>
      <w:pPr>
        <w:pStyle w:val="Heading2"/>
      </w:pPr>
      <w:r>
        <w:rPr>
          <w:rFonts w:ascii="MS Mincho" w:hAnsi="MS Mincho" w:eastAsia="MS Mincho"/>
          <w:b/>
          <w:i w:val="0"/>
          <w:color w:val="000000"/>
          <w:sz w:val="24"/>
        </w:rPr>
        <w:t>4.1. バリデーション報告への提言</w:t>
      </w:r>
    </w:p>
    <w:p>
      <w:pPr>
        <w:spacing w:after="120"/>
      </w:pPr>
      <w:r>
        <w:rPr>
          <w:rFonts w:ascii="MS Mincho" w:hAnsi="MS Mincho" w:eastAsia="MS Mincho"/>
          <w:b w:val="0"/>
          <w:i w:val="0"/>
          <w:sz w:val="22"/>
        </w:rPr>
        <w:t>動脈圧および派生モニタのバリデーション研究</w:t>
      </w:r>
      <w:r>
        <w:rPr>
          <w:rFonts w:ascii="MS Mincho" w:hAnsi="MS Mincho" w:eastAsia="MS Mincho"/>
          <w:b w:val="0"/>
          <w:i w:val="0"/>
          <w:sz w:val="22"/>
          <w:vertAlign w:val="superscript"/>
        </w:rPr>
        <w:t>20–21</w:t>
      </w:r>
      <w:r>
        <w:rPr>
          <w:rFonts w:ascii="MS Mincho" w:hAnsi="MS Mincho" w:eastAsia="MS Mincho"/>
          <w:b w:val="0"/>
          <w:i w:val="0"/>
          <w:sz w:val="22"/>
        </w:rPr>
        <w:t>は、平均バイアスと一致限界に加えて次を報告すべきである：(i) Bland–Altman 回帰の傾きとその CI（あるいは同等の Deming／Passing–Bablok の傾き）；(ii) r, C_b, u, v に分解した CCC；(iii) 標本化した圧範囲（CCC は範囲依存のため）</w:t>
      </w:r>
      <w:r>
        <w:rPr>
          <w:rFonts w:ascii="MS Mincho" w:hAnsi="MS Mincho" w:eastAsia="MS Mincho"/>
          <w:b w:val="0"/>
          <w:i w:val="0"/>
          <w:sz w:val="22"/>
          <w:vertAlign w:val="superscript"/>
        </w:rPr>
        <w:t>15–16</w:t>
      </w:r>
      <w:r>
        <w:rPr>
          <w:rFonts w:ascii="MS Mincho" w:hAnsi="MS Mincho" w:eastAsia="MS Mincho"/>
          <w:b w:val="0"/>
          <w:i w:val="0"/>
          <w:sz w:val="22"/>
        </w:rPr>
        <w:t>。特に C_b 単独では純粋なゲイン誤差に比較的鈍感であり（S4 では v = 1.108 にもかかわらず C_b = 0.995）、スケールシフト v を明示的に報告すべきである。これらの追加は数行の解析で済み、規制当局や臨床医</w:t>
      </w:r>
      <w:r>
        <w:rPr>
          <w:rFonts w:ascii="MS Mincho" w:hAnsi="MS Mincho" w:eastAsia="MS Mincho"/>
          <w:b w:val="0"/>
          <w:i w:val="0"/>
          <w:sz w:val="22"/>
          <w:vertAlign w:val="superscript"/>
        </w:rPr>
        <w:t>22</w:t>
      </w:r>
      <w:r>
        <w:rPr>
          <w:rFonts w:ascii="MS Mincho" w:hAnsi="MS Mincho" w:eastAsia="MS Mincho"/>
          <w:b w:val="0"/>
          <w:i w:val="0"/>
          <w:sz w:val="22"/>
        </w:rPr>
        <w:t>がオフセット補正された一致と真のゲイン正確度を区別できるようになる。</w:t>
      </w:r>
    </w:p>
    <w:p>
      <w:pPr>
        <w:pStyle w:val="Heading2"/>
      </w:pPr>
      <w:r>
        <w:rPr>
          <w:rFonts w:ascii="MS Mincho" w:hAnsi="MS Mincho" w:eastAsia="MS Mincho"/>
          <w:b/>
          <w:i w:val="0"/>
          <w:color w:val="000000"/>
          <w:sz w:val="24"/>
        </w:rPr>
        <w:t>4.2. 動的応答は独立した臨床的ゲイン誤差である</w:t>
      </w:r>
    </w:p>
    <w:p>
      <w:pPr>
        <w:spacing w:after="120"/>
      </w:pPr>
      <w:r>
        <w:rPr>
          <w:rFonts w:ascii="MS Mincho" w:hAnsi="MS Mincho" w:eastAsia="MS Mincho"/>
          <w:b w:val="0"/>
          <w:i w:val="0"/>
          <w:sz w:val="22"/>
        </w:rPr>
        <w:t>動的応答誤差は液体充填系に特有で、低制動（気泡、長く柔軟なチューブ）または過制動（血栓、屈曲）としてベッドサイドで日常的に遭遇する</w:t>
      </w:r>
      <w:r>
        <w:rPr>
          <w:rFonts w:ascii="MS Mincho" w:hAnsi="MS Mincho" w:eastAsia="MS Mincho"/>
          <w:b w:val="0"/>
          <w:i w:val="0"/>
          <w:sz w:val="22"/>
          <w:vertAlign w:val="superscript"/>
        </w:rPr>
        <w:t>6,19</w:t>
      </w:r>
      <w:r>
        <w:rPr>
          <w:rFonts w:ascii="MS Mincho" w:hAnsi="MS Mincho" w:eastAsia="MS Mincho"/>
          <w:b w:val="0"/>
          <w:i w:val="0"/>
          <w:sz w:val="22"/>
        </w:rPr>
        <w:t>。周波数依存であるため静的な測定法間比較統計では完全には捉えられず、ファストフラッシュ試験で f_n と ζ を読み取り直接評価するのが最適である</w:t>
      </w:r>
      <w:r>
        <w:rPr>
          <w:rFonts w:ascii="MS Mincho" w:hAnsi="MS Mincho" w:eastAsia="MS Mincho"/>
          <w:b w:val="0"/>
          <w:i w:val="0"/>
          <w:sz w:val="22"/>
          <w:vertAlign w:val="superscript"/>
        </w:rPr>
        <w:t>18</w:t>
      </w:r>
      <w:r>
        <w:rPr>
          <w:rFonts w:ascii="MS Mincho" w:hAnsi="MS Mincho" w:eastAsia="MS Mincho"/>
          <w:b w:val="0"/>
          <w:i w:val="0"/>
          <w:sz w:val="22"/>
        </w:rPr>
        <w:t>。したがって液体充填式動脈ラインの正確度に関する記述には、ファストフラッシュ動的応答チェックを併記すべきである。脈圧はゲインに比例しオフセットとは独立であるため、鋭敏な指標となる。</w:t>
      </w:r>
    </w:p>
    <w:p>
      <w:pPr>
        <w:pStyle w:val="Heading2"/>
      </w:pPr>
      <w:r>
        <w:rPr>
          <w:rFonts w:ascii="MS Mincho" w:hAnsi="MS Mincho" w:eastAsia="MS Mincho"/>
          <w:b/>
          <w:i w:val="0"/>
          <w:color w:val="000000"/>
          <w:sz w:val="24"/>
        </w:rPr>
        <w:t>4.3. センサ設計への示唆</w:t>
      </w:r>
    </w:p>
    <w:p>
      <w:pPr>
        <w:spacing w:after="120"/>
      </w:pPr>
      <w:r>
        <w:rPr>
          <w:rFonts w:ascii="MS Mincho" w:hAnsi="MS Mincho" w:eastAsia="MS Mincho"/>
          <w:b w:val="0"/>
          <w:i w:val="0"/>
          <w:sz w:val="22"/>
        </w:rPr>
        <w:t>今なおゼロ校正が行われるのは、設置固有のオフセットをリアルタイムに補正できるからであり、これは事後的な測定法間比較統計では担えない役割である。この点は同時に進むべき方向も示す：ゼロ校正は運用上のオフセット問題のみを扱うため、オフセット源をハードウェア設計で除去すればゼロ校正自体が不要となり、ゲインと動的応答が設計・検証上の残された問題として残る。</w:t>
      </w:r>
    </w:p>
    <w:p>
      <w:pPr>
        <w:spacing w:after="120"/>
      </w:pPr>
      <w:r>
        <w:rPr>
          <w:rFonts w:ascii="MS Mincho" w:hAnsi="MS Mincho" w:eastAsia="MS Mincho"/>
          <w:b w:val="0"/>
          <w:i w:val="0"/>
          <w:sz w:val="22"/>
        </w:rPr>
        <w:t>ゼロ校正が補正するオフセットは設計でも除去できる。カテーテル先端型 MEMS （微小電気機械システム）センサは静水圧柱を排除し</w:t>
      </w:r>
      <w:r>
        <w:rPr>
          <w:rFonts w:ascii="MS Mincho" w:hAnsi="MS Mincho" w:eastAsia="MS Mincho"/>
          <w:b w:val="0"/>
          <w:i w:val="0"/>
          <w:sz w:val="22"/>
          <w:vertAlign w:val="superscript"/>
        </w:rPr>
        <w:t>23–24</w:t>
      </w:r>
      <w:r>
        <w:rPr>
          <w:rFonts w:ascii="MS Mincho" w:hAnsi="MS Mincho" w:eastAsia="MS Mincho"/>
          <w:b w:val="0"/>
          <w:i w:val="0"/>
          <w:sz w:val="22"/>
        </w:rPr>
        <w:t>、気圧補正付き絶対圧センサは大気基準を除去し、自己校正型 MEMS 基準はドリフトを抑える</w:t>
      </w:r>
      <w:r>
        <w:rPr>
          <w:rFonts w:ascii="MS Mincho" w:hAnsi="MS Mincho" w:eastAsia="MS Mincho"/>
          <w:b w:val="0"/>
          <w:i w:val="0"/>
          <w:sz w:val="22"/>
          <w:vertAlign w:val="superscript"/>
        </w:rPr>
        <w:t>25</w:t>
      </w:r>
      <w:r>
        <w:rPr>
          <w:rFonts w:ascii="MS Mincho" w:hAnsi="MS Mincho" w:eastAsia="MS Mincho"/>
          <w:b w:val="0"/>
          <w:i w:val="0"/>
          <w:sz w:val="22"/>
        </w:rPr>
        <w:t>。高忠実度圧ワイヤはすでに正確なカテーテルベース圧測定を実証している</w:t>
      </w:r>
      <w:r>
        <w:rPr>
          <w:rFonts w:ascii="MS Mincho" w:hAnsi="MS Mincho" w:eastAsia="MS Mincho"/>
          <w:b w:val="0"/>
          <w:i w:val="0"/>
          <w:sz w:val="22"/>
          <w:vertAlign w:val="superscript"/>
        </w:rPr>
        <w:t>26</w:t>
      </w:r>
      <w:r>
        <w:rPr>
          <w:rFonts w:ascii="MS Mincho" w:hAnsi="MS Mincho" w:eastAsia="MS Mincho"/>
          <w:b w:val="0"/>
          <w:i w:val="0"/>
          <w:sz w:val="22"/>
        </w:rPr>
        <w:t>。オフセットを設計で除去し、正確な PP 再現でゲインを検証すれば、残存する系統誤差は完全に v に集約され、具体的な設計目標（校正なしで v ≈ 1、C_b ≥ 0.99）が得られる</w:t>
      </w:r>
      <w:r>
        <w:rPr>
          <w:rFonts w:ascii="MS Mincho" w:hAnsi="MS Mincho" w:eastAsia="MS Mincho"/>
          <w:b w:val="0"/>
          <w:i w:val="0"/>
          <w:sz w:val="22"/>
          <w:vertAlign w:val="superscript"/>
        </w:rPr>
        <w:t>17</w:t>
      </w:r>
      <w:r>
        <w:rPr>
          <w:rFonts w:ascii="MS Mincho" w:hAnsi="MS Mincho" w:eastAsia="MS Mincho"/>
          <w:b w:val="0"/>
          <w:i w:val="0"/>
          <w:sz w:val="22"/>
        </w:rPr>
        <w:t>。現代のピエゾ抵抗型 MEMS センサは全スケールの0.1%を十分下回る非線形性を達成しており</w:t>
      </w:r>
      <w:r>
        <w:rPr>
          <w:rFonts w:ascii="MS Mincho" w:hAnsi="MS Mincho" w:eastAsia="MS Mincho"/>
          <w:b w:val="0"/>
          <w:i w:val="0"/>
          <w:sz w:val="22"/>
          <w:vertAlign w:val="superscript"/>
        </w:rPr>
        <w:t>27</w:t>
      </w:r>
      <w:r>
        <w:rPr>
          <w:rFonts w:ascii="MS Mincho" w:hAnsi="MS Mincho" w:eastAsia="MS Mincho"/>
          <w:b w:val="0"/>
          <w:i w:val="0"/>
          <w:sz w:val="22"/>
        </w:rPr>
        <w:t>、拍動範囲で検証したゲインが生理的範囲全体に一般化するという仮定を支持する。</w:t>
      </w:r>
    </w:p>
    <w:p>
      <w:pPr>
        <w:pStyle w:val="Heading2"/>
      </w:pPr>
      <w:r>
        <w:rPr>
          <w:rFonts w:ascii="MS Mincho" w:hAnsi="MS Mincho" w:eastAsia="MS Mincho"/>
          <w:b/>
          <w:i w:val="0"/>
          <w:color w:val="000000"/>
          <w:sz w:val="24"/>
        </w:rPr>
        <w:t>4.4. 派生血行動態モニタへの拡張</w:t>
      </w:r>
    </w:p>
    <w:p>
      <w:pPr>
        <w:spacing w:after="120"/>
      </w:pPr>
      <w:r>
        <w:rPr>
          <w:rFonts w:ascii="MS Mincho" w:hAnsi="MS Mincho" w:eastAsia="MS Mincho"/>
          <w:b w:val="0"/>
          <w:i w:val="0"/>
          <w:sz w:val="22"/>
        </w:rPr>
        <w:t>オフセット対ゲインの区別は、自己校正ルーチンがセットポイントを再最適化する—オフセット補正—一方で圧・インピーダンスから流量への変換ゲインを補正しない派生モニタにも及ぶ</w:t>
      </w:r>
      <w:r>
        <w:rPr>
          <w:rFonts w:ascii="MS Mincho" w:hAnsi="MS Mincho" w:eastAsia="MS Mincho"/>
          <w:b w:val="0"/>
          <w:i w:val="0"/>
          <w:sz w:val="22"/>
          <w:vertAlign w:val="superscript"/>
        </w:rPr>
        <w:t>28–31</w:t>
      </w:r>
      <w:r>
        <w:rPr>
          <w:rFonts w:ascii="MS Mincho" w:hAnsi="MS Mincho" w:eastAsia="MS Mincho"/>
          <w:b w:val="0"/>
          <w:i w:val="0"/>
          <w:sz w:val="22"/>
        </w:rPr>
        <w:t>。これら機器についてスケールシフト v を報告すれば、校正への依存が明示される。</w:t>
      </w:r>
    </w:p>
    <w:p>
      <w:pPr>
        <w:pStyle w:val="Heading2"/>
      </w:pPr>
      <w:r>
        <w:rPr>
          <w:rFonts w:ascii="MS Mincho" w:hAnsi="MS Mincho" w:eastAsia="MS Mincho"/>
          <w:b/>
          <w:i w:val="0"/>
          <w:color w:val="000000"/>
          <w:sz w:val="24"/>
        </w:rPr>
        <w:t>4.5. 限界</w:t>
      </w:r>
    </w:p>
    <w:p>
      <w:pPr>
        <w:spacing w:after="120"/>
      </w:pPr>
      <w:r>
        <w:rPr>
          <w:rFonts w:ascii="MS Mincho" w:hAnsi="MS Mincho" w:eastAsia="MS Mincho"/>
          <w:b w:val="0"/>
          <w:i w:val="0"/>
          <w:sz w:val="22"/>
        </w:rPr>
        <w:t>本研究はシミュレーション研究であり、データは合成で特定の誤差構造を分離するよう選ばれており、明示された精度をもつ観血的基準に対する前向き臨床比較の代替ではない</w:t>
      </w:r>
      <w:r>
        <w:rPr>
          <w:rFonts w:ascii="MS Mincho" w:hAnsi="MS Mincho" w:eastAsia="MS Mincho"/>
          <w:b w:val="0"/>
          <w:i w:val="0"/>
          <w:sz w:val="22"/>
          <w:vertAlign w:val="superscript"/>
        </w:rPr>
        <w:t>9</w:t>
      </w:r>
      <w:r>
        <w:rPr>
          <w:rFonts w:ascii="MS Mincho" w:hAnsi="MS Mincho" w:eastAsia="MS Mincho"/>
          <w:b w:val="0"/>
          <w:i w:val="0"/>
          <w:sz w:val="22"/>
        </w:rPr>
        <w:t>。静的モデルはセンサの線形性を仮定し、動的モデルは単一の2次近似である。本研究の価値は、どの報告解析が残存ゲイン誤差を検出するかを明示的かつ再現可能に定量化する点にあり、経験的バリデーションの前段であって代替ではない。</w:t>
      </w:r>
    </w:p>
    <w:p>
      <w:pPr>
        <w:pStyle w:val="Heading1"/>
      </w:pPr>
      <w:r>
        <w:rPr>
          <w:rFonts w:ascii="MS Mincho" w:hAnsi="MS Mincho" w:eastAsia="MS Mincho"/>
          <w:b/>
          <w:i w:val="0"/>
          <w:color w:val="000000"/>
          <w:sz w:val="26"/>
        </w:rPr>
        <w:t>5. 結論</w:t>
      </w:r>
    </w:p>
    <w:p>
      <w:pPr>
        <w:spacing w:after="120"/>
      </w:pPr>
      <w:r>
        <w:rPr>
          <w:rFonts w:ascii="MS Mincho" w:hAnsi="MS Mincho" w:eastAsia="MS Mincho"/>
          <w:b w:val="0"/>
          <w:i w:val="0"/>
          <w:sz w:val="22"/>
        </w:rPr>
        <w:t>ゼロ校正はオフセットを補正するがゲインは補正しない。平均バイアス＋一致限界の要約は、オフセットが隠す場合に残存ゲイン誤差を見逃しうるが、Bland–Altman 回帰、Deming・Passing–Bablok 回帰、CCC スケールシフトはこれを検出する。動的応答誤差はファストフラッシュ試験で診断される独立した周波数依存のゲイン誤差である。動脈圧バリデーション研究は、比例バイアスを検出する解析、標本範囲を付した CCC 分解、および明示的な動的応答チェックを報告すべきである。</w:t>
      </w:r>
    </w:p>
    <w:p>
      <w:pPr>
        <w:pStyle w:val="Heading1"/>
      </w:pPr>
      <w:r>
        <w:rPr>
          <w:rFonts w:ascii="MS Mincho" w:hAnsi="MS Mincho" w:eastAsia="MS Mincho"/>
          <w:b/>
          <w:i w:val="0"/>
          <w:color w:val="000000"/>
          <w:sz w:val="26"/>
        </w:rPr>
        <w:t>利益相反</w:t>
      </w:r>
    </w:p>
    <w:p>
      <w:pPr>
        <w:spacing w:after="120"/>
      </w:pPr>
      <w:r>
        <w:rPr>
          <w:rFonts w:ascii="MS Mincho" w:hAnsi="MS Mincho" w:eastAsia="MS Mincho"/>
          <w:b w:val="0"/>
          <w:i w:val="0"/>
          <w:sz w:val="22"/>
        </w:rPr>
        <w:t>[著者により記入]</w:t>
      </w:r>
    </w:p>
    <w:p>
      <w:pPr>
        <w:pStyle w:val="Heading1"/>
      </w:pPr>
      <w:r>
        <w:rPr>
          <w:rFonts w:ascii="MS Mincho" w:hAnsi="MS Mincho" w:eastAsia="MS Mincho"/>
          <w:b/>
          <w:i w:val="0"/>
          <w:color w:val="000000"/>
          <w:sz w:val="26"/>
        </w:rPr>
        <w:t>研究資金</w:t>
      </w:r>
    </w:p>
    <w:p>
      <w:pPr>
        <w:spacing w:after="120"/>
      </w:pPr>
      <w:r>
        <w:rPr>
          <w:rFonts w:ascii="MS Mincho" w:hAnsi="MS Mincho" w:eastAsia="MS Mincho"/>
          <w:b w:val="0"/>
          <w:i w:val="0"/>
          <w:sz w:val="22"/>
        </w:rPr>
        <w:t>[著者により記入]</w:t>
      </w:r>
    </w:p>
    <w:p>
      <w:pPr>
        <w:pStyle w:val="Heading1"/>
      </w:pPr>
      <w:r>
        <w:rPr>
          <w:rFonts w:ascii="MS Mincho" w:hAnsi="MS Mincho" w:eastAsia="MS Mincho"/>
          <w:b/>
          <w:i w:val="0"/>
          <w:color w:val="000000"/>
          <w:sz w:val="26"/>
        </w:rPr>
        <w:t>データ利用可能性</w:t>
      </w:r>
    </w:p>
    <w:p>
      <w:pPr>
        <w:spacing w:after="120"/>
      </w:pPr>
      <w:r>
        <w:rPr>
          <w:rFonts w:ascii="MS Mincho" w:hAnsi="MS Mincho" w:eastAsia="MS Mincho"/>
          <w:b w:val="0"/>
          <w:i w:val="0"/>
          <w:sz w:val="22"/>
        </w:rPr>
        <w:t>すべてのシミュレーションコードと生成データは公開複製リポジトリ（https://github.com/bougtoir/bpm-zero-calibration）で公開されている。本論文の全数値・表・図は、クリーンなクローンから解析パイプラインを実行することで再生成できる。</w:t>
      </w:r>
    </w:p>
    <w:p>
      <w:r>
        <w:br w:type="page"/>
      </w:r>
    </w:p>
    <w:p>
      <w:pPr>
        <w:pStyle w:val="Heading1"/>
      </w:pPr>
      <w:r>
        <w:rPr>
          <w:rFonts w:ascii="MS Mincho" w:hAnsi="MS Mincho" w:eastAsia="MS Mincho"/>
          <w:b/>
          <w:i w:val="0"/>
          <w:color w:val="000000"/>
          <w:sz w:val="26"/>
        </w:rPr>
        <w:t>表1</w:t>
      </w:r>
    </w:p>
    <w:p>
      <w:pPr>
        <w:spacing w:after="120"/>
      </w:pPr>
      <w:r>
        <w:rPr>
          <w:rFonts w:ascii="MS Mincho" w:hAnsi="MS Mincho" w:eastAsia="MS Mincho"/>
          <w:b/>
          <w:i w:val="0"/>
          <w:sz w:val="22"/>
        </w:rPr>
        <w:t>表1. 4つの静的シナリオの測定法間比較指標（各 n = 150 対）。</w:t>
      </w:r>
    </w:p>
    <w:tbl>
      <w:tblPr>
        <w:tblStyle w:val="LightGrid-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rFonts w:ascii="MS Mincho" w:hAnsi="MS Mincho" w:eastAsia="MS Mincho"/>
                <w:b/>
                <w:i w:val="0"/>
                <w:sz w:val="16"/>
              </w:rPr>
              <w:t>シナリオ</w:t>
            </w:r>
          </w:p>
        </w:tc>
        <w:tc>
          <w:tcPr>
            <w:tcW w:type="dxa" w:w="936"/>
          </w:tcPr>
          <w:p>
            <w:r>
              <w:rPr>
                <w:rFonts w:ascii="MS Mincho" w:hAnsi="MS Mincho" w:eastAsia="MS Mincho"/>
                <w:b/>
                <w:i w:val="0"/>
                <w:sz w:val="16"/>
              </w:rPr>
              <w:t>平均バイアス</w:t>
              <w:br/>
              <w:t>(mmHg)</w:t>
            </w:r>
          </w:p>
        </w:tc>
        <w:tc>
          <w:tcPr>
            <w:tcW w:type="dxa" w:w="936"/>
          </w:tcPr>
          <w:p>
            <w:r>
              <w:rPr>
                <w:rFonts w:ascii="MS Mincho" w:hAnsi="MS Mincho" w:eastAsia="MS Mincho"/>
                <w:b/>
                <w:i w:val="0"/>
                <w:sz w:val="16"/>
              </w:rPr>
              <w:t>95% LoA</w:t>
              <w:br/>
              <w:t>(mmHg)</w:t>
            </w:r>
          </w:p>
        </w:tc>
        <w:tc>
          <w:tcPr>
            <w:tcW w:type="dxa" w:w="936"/>
          </w:tcPr>
          <w:p>
            <w:r>
              <w:rPr>
                <w:rFonts w:ascii="MS Mincho" w:hAnsi="MS Mincho" w:eastAsia="MS Mincho"/>
                <w:b/>
                <w:i w:val="0"/>
                <w:sz w:val="16"/>
              </w:rPr>
              <w:t>PE (%)</w:t>
            </w:r>
          </w:p>
        </w:tc>
        <w:tc>
          <w:tcPr>
            <w:tcW w:type="dxa" w:w="936"/>
          </w:tcPr>
          <w:p>
            <w:r>
              <w:rPr>
                <w:rFonts w:ascii="MS Mincho" w:hAnsi="MS Mincho" w:eastAsia="MS Mincho"/>
                <w:b/>
                <w:i w:val="0"/>
                <w:sz w:val="16"/>
              </w:rPr>
              <w:t>BA回帰傾き</w:t>
              <w:br/>
              <w:t>(95% CI)</w:t>
            </w:r>
          </w:p>
        </w:tc>
        <w:tc>
          <w:tcPr>
            <w:tcW w:type="dxa" w:w="936"/>
          </w:tcPr>
          <w:p>
            <w:r>
              <w:rPr>
                <w:rFonts w:ascii="MS Mincho" w:hAnsi="MS Mincho" w:eastAsia="MS Mincho"/>
                <w:b/>
                <w:i w:val="0"/>
                <w:sz w:val="16"/>
              </w:rPr>
              <w:t>Deming傾き</w:t>
              <w:br/>
              <w:t>(95% CI)</w:t>
            </w:r>
          </w:p>
        </w:tc>
        <w:tc>
          <w:tcPr>
            <w:tcW w:type="dxa" w:w="936"/>
          </w:tcPr>
          <w:p>
            <w:r>
              <w:rPr>
                <w:rFonts w:ascii="MS Mincho" w:hAnsi="MS Mincho" w:eastAsia="MS Mincho"/>
                <w:b/>
                <w:i w:val="0"/>
                <w:sz w:val="16"/>
              </w:rPr>
              <w:t>P–B傾き</w:t>
              <w:br/>
              <w:t>(95% CI)</w:t>
            </w:r>
          </w:p>
        </w:tc>
        <w:tc>
          <w:tcPr>
            <w:tcW w:type="dxa" w:w="936"/>
          </w:tcPr>
          <w:p>
            <w:r>
              <w:rPr>
                <w:rFonts w:ascii="MS Mincho" w:hAnsi="MS Mincho" w:eastAsia="MS Mincho"/>
                <w:b/>
                <w:i w:val="0"/>
                <w:sz w:val="16"/>
              </w:rPr>
              <w:t>CCC</w:t>
            </w:r>
          </w:p>
        </w:tc>
        <w:tc>
          <w:tcPr>
            <w:tcW w:type="dxa" w:w="936"/>
          </w:tcPr>
          <w:p>
            <w:r>
              <w:rPr>
                <w:rFonts w:ascii="MS Mincho" w:hAnsi="MS Mincho" w:eastAsia="MS Mincho"/>
                <w:b/>
                <w:i w:val="0"/>
                <w:sz w:val="16"/>
              </w:rPr>
              <w:t>C_b</w:t>
            </w:r>
          </w:p>
        </w:tc>
        <w:tc>
          <w:tcPr>
            <w:tcW w:type="dxa" w:w="936"/>
          </w:tcPr>
          <w:p>
            <w:r>
              <w:rPr>
                <w:rFonts w:ascii="MS Mincho" w:hAnsi="MS Mincho" w:eastAsia="MS Mincho"/>
                <w:b/>
                <w:i w:val="0"/>
                <w:sz w:val="16"/>
              </w:rPr>
              <w:t>v</w:t>
            </w:r>
          </w:p>
        </w:tc>
      </w:tr>
      <w:tr>
        <w:tc>
          <w:tcPr>
            <w:tcW w:type="dxa" w:w="936"/>
          </w:tcPr>
          <w:p>
            <w:r>
              <w:rPr>
                <w:rFonts w:ascii="MS Mincho" w:hAnsi="MS Mincho" w:eastAsia="MS Mincho"/>
                <w:b w:val="0"/>
                <w:i w:val="0"/>
                <w:sz w:val="16"/>
              </w:rPr>
              <w:t>S1 オフセットのみ</w:t>
            </w:r>
          </w:p>
        </w:tc>
        <w:tc>
          <w:tcPr>
            <w:tcW w:type="dxa" w:w="936"/>
          </w:tcPr>
          <w:p>
            <w:r>
              <w:rPr>
                <w:rFonts w:ascii="MS Mincho" w:hAnsi="MS Mincho" w:eastAsia="MS Mincho"/>
                <w:b w:val="0"/>
                <w:i w:val="0"/>
                <w:sz w:val="16"/>
              </w:rPr>
              <w:t>+11.9</w:t>
            </w:r>
          </w:p>
        </w:tc>
        <w:tc>
          <w:tcPr>
            <w:tcW w:type="dxa" w:w="936"/>
          </w:tcPr>
          <w:p>
            <w:r>
              <w:rPr>
                <w:rFonts w:ascii="MS Mincho" w:hAnsi="MS Mincho" w:eastAsia="MS Mincho"/>
                <w:b w:val="0"/>
                <w:i w:val="0"/>
                <w:sz w:val="16"/>
              </w:rPr>
              <w:t>5.6〜18.2</w:t>
            </w:r>
          </w:p>
        </w:tc>
        <w:tc>
          <w:tcPr>
            <w:tcW w:type="dxa" w:w="936"/>
          </w:tcPr>
          <w:p>
            <w:r>
              <w:rPr>
                <w:rFonts w:ascii="MS Mincho" w:hAnsi="MS Mincho" w:eastAsia="MS Mincho"/>
                <w:b w:val="0"/>
                <w:i w:val="0"/>
                <w:sz w:val="16"/>
              </w:rPr>
              <w:t>4.6</w:t>
            </w:r>
          </w:p>
        </w:tc>
        <w:tc>
          <w:tcPr>
            <w:tcW w:type="dxa" w:w="936"/>
          </w:tcPr>
          <w:p>
            <w:r>
              <w:rPr>
                <w:rFonts w:ascii="MS Mincho" w:hAnsi="MS Mincho" w:eastAsia="MS Mincho"/>
                <w:b w:val="0"/>
                <w:i w:val="0"/>
                <w:sz w:val="16"/>
              </w:rPr>
              <w:t>0.010</w:t>
              <w:br/>
              <w:t>(-0.007, 0.028)</w:t>
            </w:r>
          </w:p>
        </w:tc>
        <w:tc>
          <w:tcPr>
            <w:tcW w:type="dxa" w:w="936"/>
          </w:tcPr>
          <w:p>
            <w:r>
              <w:rPr>
                <w:rFonts w:ascii="MS Mincho" w:hAnsi="MS Mincho" w:eastAsia="MS Mincho"/>
                <w:b w:val="0"/>
                <w:i w:val="0"/>
                <w:sz w:val="16"/>
              </w:rPr>
              <w:t>1.010</w:t>
              <w:br/>
              <w:t>(0.993, 1.028)</w:t>
            </w:r>
          </w:p>
        </w:tc>
        <w:tc>
          <w:tcPr>
            <w:tcW w:type="dxa" w:w="936"/>
          </w:tcPr>
          <w:p>
            <w:r>
              <w:rPr>
                <w:rFonts w:ascii="MS Mincho" w:hAnsi="MS Mincho" w:eastAsia="MS Mincho"/>
                <w:b w:val="0"/>
                <w:i w:val="0"/>
                <w:sz w:val="16"/>
              </w:rPr>
              <w:t>1.010</w:t>
              <w:br/>
              <w:t>(0.990, 1.029)</w:t>
            </w:r>
          </w:p>
        </w:tc>
        <w:tc>
          <w:tcPr>
            <w:tcW w:type="dxa" w:w="936"/>
          </w:tcPr>
          <w:p>
            <w:r>
              <w:rPr>
                <w:rFonts w:ascii="MS Mincho" w:hAnsi="MS Mincho" w:eastAsia="MS Mincho"/>
                <w:b w:val="0"/>
                <w:i w:val="0"/>
                <w:sz w:val="16"/>
              </w:rPr>
              <w:t>0.921</w:t>
            </w:r>
          </w:p>
        </w:tc>
        <w:tc>
          <w:tcPr>
            <w:tcW w:type="dxa" w:w="936"/>
          </w:tcPr>
          <w:p>
            <w:r>
              <w:rPr>
                <w:rFonts w:ascii="MS Mincho" w:hAnsi="MS Mincho" w:eastAsia="MS Mincho"/>
                <w:b w:val="0"/>
                <w:i w:val="0"/>
                <w:sz w:val="16"/>
              </w:rPr>
              <w:t>0.926</w:t>
            </w:r>
          </w:p>
        </w:tc>
        <w:tc>
          <w:tcPr>
            <w:tcW w:type="dxa" w:w="936"/>
          </w:tcPr>
          <w:p>
            <w:r>
              <w:rPr>
                <w:rFonts w:ascii="MS Mincho" w:hAnsi="MS Mincho" w:eastAsia="MS Mincho"/>
                <w:b w:val="0"/>
                <w:i w:val="0"/>
                <w:sz w:val="16"/>
              </w:rPr>
              <w:t>1.010</w:t>
            </w:r>
          </w:p>
        </w:tc>
      </w:tr>
      <w:tr>
        <w:tc>
          <w:tcPr>
            <w:tcW w:type="dxa" w:w="936"/>
          </w:tcPr>
          <w:p>
            <w:r>
              <w:rPr>
                <w:rFonts w:ascii="MS Mincho" w:hAnsi="MS Mincho" w:eastAsia="MS Mincho"/>
                <w:b w:val="0"/>
                <w:i w:val="0"/>
                <w:sz w:val="16"/>
              </w:rPr>
              <w:t>S2 ゼロ校正(理想)</w:t>
            </w:r>
          </w:p>
        </w:tc>
        <w:tc>
          <w:tcPr>
            <w:tcW w:type="dxa" w:w="936"/>
          </w:tcPr>
          <w:p>
            <w:r>
              <w:rPr>
                <w:rFonts w:ascii="MS Mincho" w:hAnsi="MS Mincho" w:eastAsia="MS Mincho"/>
                <w:b w:val="0"/>
                <w:i w:val="0"/>
                <w:sz w:val="16"/>
              </w:rPr>
              <w:t>+0.1</w:t>
            </w:r>
          </w:p>
        </w:tc>
        <w:tc>
          <w:tcPr>
            <w:tcW w:type="dxa" w:w="936"/>
          </w:tcPr>
          <w:p>
            <w:r>
              <w:rPr>
                <w:rFonts w:ascii="MS Mincho" w:hAnsi="MS Mincho" w:eastAsia="MS Mincho"/>
                <w:b w:val="0"/>
                <w:i w:val="0"/>
                <w:sz w:val="16"/>
              </w:rPr>
              <w:t>-5.4〜5.5</w:t>
            </w:r>
          </w:p>
        </w:tc>
        <w:tc>
          <w:tcPr>
            <w:tcW w:type="dxa" w:w="936"/>
          </w:tcPr>
          <w:p>
            <w:r>
              <w:rPr>
                <w:rFonts w:ascii="MS Mincho" w:hAnsi="MS Mincho" w:eastAsia="MS Mincho"/>
                <w:b w:val="0"/>
                <w:i w:val="0"/>
                <w:sz w:val="16"/>
              </w:rPr>
              <w:t>4.2</w:t>
            </w:r>
          </w:p>
        </w:tc>
        <w:tc>
          <w:tcPr>
            <w:tcW w:type="dxa" w:w="936"/>
          </w:tcPr>
          <w:p>
            <w:r>
              <w:rPr>
                <w:rFonts w:ascii="MS Mincho" w:hAnsi="MS Mincho" w:eastAsia="MS Mincho"/>
                <w:b w:val="0"/>
                <w:i w:val="0"/>
                <w:sz w:val="16"/>
              </w:rPr>
              <w:t>-0.010</w:t>
              <w:br/>
              <w:t>(-0.025, 0.006)</w:t>
            </w:r>
          </w:p>
        </w:tc>
        <w:tc>
          <w:tcPr>
            <w:tcW w:type="dxa" w:w="936"/>
          </w:tcPr>
          <w:p>
            <w:r>
              <w:rPr>
                <w:rFonts w:ascii="MS Mincho" w:hAnsi="MS Mincho" w:eastAsia="MS Mincho"/>
                <w:b w:val="0"/>
                <w:i w:val="0"/>
                <w:sz w:val="16"/>
              </w:rPr>
              <w:t>0.990</w:t>
              <w:br/>
              <w:t>(0.975, 1.006)</w:t>
            </w:r>
          </w:p>
        </w:tc>
        <w:tc>
          <w:tcPr>
            <w:tcW w:type="dxa" w:w="936"/>
          </w:tcPr>
          <w:p>
            <w:r>
              <w:rPr>
                <w:rFonts w:ascii="MS Mincho" w:hAnsi="MS Mincho" w:eastAsia="MS Mincho"/>
                <w:b w:val="0"/>
                <w:i w:val="0"/>
                <w:sz w:val="16"/>
              </w:rPr>
              <w:t>0.985</w:t>
              <w:br/>
              <w:t>(0.971, 1.001)</w:t>
            </w:r>
          </w:p>
        </w:tc>
        <w:tc>
          <w:tcPr>
            <w:tcW w:type="dxa" w:w="936"/>
          </w:tcPr>
          <w:p>
            <w:r>
              <w:rPr>
                <w:rFonts w:ascii="MS Mincho" w:hAnsi="MS Mincho" w:eastAsia="MS Mincho"/>
                <w:b w:val="0"/>
                <w:i w:val="0"/>
                <w:sz w:val="16"/>
              </w:rPr>
              <w:t>0.995</w:t>
            </w:r>
          </w:p>
        </w:tc>
        <w:tc>
          <w:tcPr>
            <w:tcW w:type="dxa" w:w="936"/>
          </w:tcPr>
          <w:p>
            <w:r>
              <w:rPr>
                <w:rFonts w:ascii="MS Mincho" w:hAnsi="MS Mincho" w:eastAsia="MS Mincho"/>
                <w:b w:val="0"/>
                <w:i w:val="0"/>
                <w:sz w:val="16"/>
              </w:rPr>
              <w:t>1.000</w:t>
            </w:r>
          </w:p>
        </w:tc>
        <w:tc>
          <w:tcPr>
            <w:tcW w:type="dxa" w:w="936"/>
          </w:tcPr>
          <w:p>
            <w:r>
              <w:rPr>
                <w:rFonts w:ascii="MS Mincho" w:hAnsi="MS Mincho" w:eastAsia="MS Mincho"/>
                <w:b w:val="0"/>
                <w:i w:val="0"/>
                <w:sz w:val="16"/>
              </w:rPr>
              <w:t>0.990</w:t>
            </w:r>
          </w:p>
        </w:tc>
      </w:tr>
      <w:tr>
        <w:tc>
          <w:tcPr>
            <w:tcW w:type="dxa" w:w="936"/>
          </w:tcPr>
          <w:p>
            <w:r>
              <w:rPr>
                <w:rFonts w:ascii="MS Mincho" w:hAnsi="MS Mincho" w:eastAsia="MS Mincho"/>
                <w:b w:val="0"/>
                <w:i w:val="0"/>
                <w:sz w:val="16"/>
              </w:rPr>
              <w:t>S3 ゲイン誤差</w:t>
            </w:r>
          </w:p>
        </w:tc>
        <w:tc>
          <w:tcPr>
            <w:tcW w:type="dxa" w:w="936"/>
          </w:tcPr>
          <w:p>
            <w:r>
              <w:rPr>
                <w:rFonts w:ascii="MS Mincho" w:hAnsi="MS Mincho" w:eastAsia="MS Mincho"/>
                <w:b w:val="0"/>
                <w:i w:val="0"/>
                <w:sz w:val="16"/>
              </w:rPr>
              <w:t>+12.7</w:t>
            </w:r>
          </w:p>
        </w:tc>
        <w:tc>
          <w:tcPr>
            <w:tcW w:type="dxa" w:w="936"/>
          </w:tcPr>
          <w:p>
            <w:r>
              <w:rPr>
                <w:rFonts w:ascii="MS Mincho" w:hAnsi="MS Mincho" w:eastAsia="MS Mincho"/>
                <w:b w:val="0"/>
                <w:i w:val="0"/>
                <w:sz w:val="16"/>
              </w:rPr>
              <w:t>4.7〜20.7</w:t>
            </w:r>
          </w:p>
        </w:tc>
        <w:tc>
          <w:tcPr>
            <w:tcW w:type="dxa" w:w="936"/>
          </w:tcPr>
          <w:p>
            <w:r>
              <w:rPr>
                <w:rFonts w:ascii="MS Mincho" w:hAnsi="MS Mincho" w:eastAsia="MS Mincho"/>
                <w:b w:val="0"/>
                <w:i w:val="0"/>
                <w:sz w:val="16"/>
              </w:rPr>
              <w:t>5.9</w:t>
            </w:r>
          </w:p>
        </w:tc>
        <w:tc>
          <w:tcPr>
            <w:tcW w:type="dxa" w:w="936"/>
          </w:tcPr>
          <w:p>
            <w:r>
              <w:rPr>
                <w:rFonts w:ascii="MS Mincho" w:hAnsi="MS Mincho" w:eastAsia="MS Mincho"/>
                <w:b w:val="0"/>
                <w:i w:val="0"/>
                <w:sz w:val="16"/>
              </w:rPr>
              <w:t>0.094</w:t>
              <w:br/>
              <w:t>(0.080, 0.109)</w:t>
            </w:r>
          </w:p>
        </w:tc>
        <w:tc>
          <w:tcPr>
            <w:tcW w:type="dxa" w:w="936"/>
          </w:tcPr>
          <w:p>
            <w:r>
              <w:rPr>
                <w:rFonts w:ascii="MS Mincho" w:hAnsi="MS Mincho" w:eastAsia="MS Mincho"/>
                <w:b w:val="0"/>
                <w:i w:val="0"/>
                <w:sz w:val="16"/>
              </w:rPr>
              <w:t>1.099</w:t>
              <w:br/>
              <w:t>(1.082, 1.117)</w:t>
            </w:r>
          </w:p>
        </w:tc>
        <w:tc>
          <w:tcPr>
            <w:tcW w:type="dxa" w:w="936"/>
          </w:tcPr>
          <w:p>
            <w:r>
              <w:rPr>
                <w:rFonts w:ascii="MS Mincho" w:hAnsi="MS Mincho" w:eastAsia="MS Mincho"/>
                <w:b w:val="0"/>
                <w:i w:val="0"/>
                <w:sz w:val="16"/>
              </w:rPr>
              <w:t>1.100</w:t>
              <w:br/>
              <w:t>(1.081, 1.117)</w:t>
            </w:r>
          </w:p>
        </w:tc>
        <w:tc>
          <w:tcPr>
            <w:tcW w:type="dxa" w:w="936"/>
          </w:tcPr>
          <w:p>
            <w:r>
              <w:rPr>
                <w:rFonts w:ascii="MS Mincho" w:hAnsi="MS Mincho" w:eastAsia="MS Mincho"/>
                <w:b w:val="0"/>
                <w:i w:val="0"/>
                <w:sz w:val="16"/>
              </w:rPr>
              <w:t>0.915</w:t>
            </w:r>
          </w:p>
        </w:tc>
        <w:tc>
          <w:tcPr>
            <w:tcW w:type="dxa" w:w="936"/>
          </w:tcPr>
          <w:p>
            <w:r>
              <w:rPr>
                <w:rFonts w:ascii="MS Mincho" w:hAnsi="MS Mincho" w:eastAsia="MS Mincho"/>
                <w:b w:val="0"/>
                <w:i w:val="0"/>
                <w:sz w:val="16"/>
              </w:rPr>
              <w:t>0.919</w:t>
            </w:r>
          </w:p>
        </w:tc>
        <w:tc>
          <w:tcPr>
            <w:tcW w:type="dxa" w:w="936"/>
          </w:tcPr>
          <w:p>
            <w:r>
              <w:rPr>
                <w:rFonts w:ascii="MS Mincho" w:hAnsi="MS Mincho" w:eastAsia="MS Mincho"/>
                <w:b w:val="0"/>
                <w:i w:val="0"/>
                <w:sz w:val="16"/>
              </w:rPr>
              <w:t>1.099</w:t>
            </w:r>
          </w:p>
        </w:tc>
      </w:tr>
      <w:tr>
        <w:tc>
          <w:tcPr>
            <w:tcW w:type="dxa" w:w="936"/>
          </w:tcPr>
          <w:p>
            <w:r>
              <w:rPr>
                <w:rFonts w:ascii="MS Mincho" w:hAnsi="MS Mincho" w:eastAsia="MS Mincho"/>
                <w:b w:val="0"/>
                <w:i w:val="0"/>
                <w:sz w:val="16"/>
              </w:rPr>
              <w:t>S4 隠れたゲイン</w:t>
            </w:r>
          </w:p>
        </w:tc>
        <w:tc>
          <w:tcPr>
            <w:tcW w:type="dxa" w:w="936"/>
          </w:tcPr>
          <w:p>
            <w:r>
              <w:rPr>
                <w:rFonts w:ascii="MS Mincho" w:hAnsi="MS Mincho" w:eastAsia="MS Mincho"/>
                <w:b w:val="0"/>
                <w:i w:val="0"/>
                <w:sz w:val="16"/>
              </w:rPr>
              <w:t>+0.3</w:t>
            </w:r>
          </w:p>
        </w:tc>
        <w:tc>
          <w:tcPr>
            <w:tcW w:type="dxa" w:w="936"/>
          </w:tcPr>
          <w:p>
            <w:r>
              <w:rPr>
                <w:rFonts w:ascii="MS Mincho" w:hAnsi="MS Mincho" w:eastAsia="MS Mincho"/>
                <w:b w:val="0"/>
                <w:i w:val="0"/>
                <w:sz w:val="16"/>
              </w:rPr>
              <w:t>-8.4〜8.9</w:t>
            </w:r>
          </w:p>
        </w:tc>
        <w:tc>
          <w:tcPr>
            <w:tcW w:type="dxa" w:w="936"/>
          </w:tcPr>
          <w:p>
            <w:r>
              <w:rPr>
                <w:rFonts w:ascii="MS Mincho" w:hAnsi="MS Mincho" w:eastAsia="MS Mincho"/>
                <w:b w:val="0"/>
                <w:i w:val="0"/>
                <w:sz w:val="16"/>
              </w:rPr>
              <w:t>6.7</w:t>
            </w:r>
          </w:p>
        </w:tc>
        <w:tc>
          <w:tcPr>
            <w:tcW w:type="dxa" w:w="936"/>
          </w:tcPr>
          <w:p>
            <w:r>
              <w:rPr>
                <w:rFonts w:ascii="MS Mincho" w:hAnsi="MS Mincho" w:eastAsia="MS Mincho"/>
                <w:b w:val="0"/>
                <w:i w:val="0"/>
                <w:sz w:val="16"/>
              </w:rPr>
              <w:t>0.103</w:t>
              <w:br/>
              <w:t>(0.087, 0.119)</w:t>
            </w:r>
          </w:p>
        </w:tc>
        <w:tc>
          <w:tcPr>
            <w:tcW w:type="dxa" w:w="936"/>
          </w:tcPr>
          <w:p>
            <w:r>
              <w:rPr>
                <w:rFonts w:ascii="MS Mincho" w:hAnsi="MS Mincho" w:eastAsia="MS Mincho"/>
                <w:b w:val="0"/>
                <w:i w:val="0"/>
                <w:sz w:val="16"/>
              </w:rPr>
              <w:t>1.109</w:t>
              <w:br/>
              <w:t>(1.091, 1.126)</w:t>
            </w:r>
          </w:p>
        </w:tc>
        <w:tc>
          <w:tcPr>
            <w:tcW w:type="dxa" w:w="936"/>
          </w:tcPr>
          <w:p>
            <w:r>
              <w:rPr>
                <w:rFonts w:ascii="MS Mincho" w:hAnsi="MS Mincho" w:eastAsia="MS Mincho"/>
                <w:b w:val="0"/>
                <w:i w:val="0"/>
                <w:sz w:val="16"/>
              </w:rPr>
              <w:t>1.111</w:t>
              <w:br/>
              <w:t>(1.092, 1.130)</w:t>
            </w:r>
          </w:p>
        </w:tc>
        <w:tc>
          <w:tcPr>
            <w:tcW w:type="dxa" w:w="936"/>
          </w:tcPr>
          <w:p>
            <w:r>
              <w:rPr>
                <w:rFonts w:ascii="MS Mincho" w:hAnsi="MS Mincho" w:eastAsia="MS Mincho"/>
                <w:b w:val="0"/>
                <w:i w:val="0"/>
                <w:sz w:val="16"/>
              </w:rPr>
              <w:t>0.990</w:t>
            </w:r>
          </w:p>
        </w:tc>
        <w:tc>
          <w:tcPr>
            <w:tcW w:type="dxa" w:w="936"/>
          </w:tcPr>
          <w:p>
            <w:r>
              <w:rPr>
                <w:rFonts w:ascii="MS Mincho" w:hAnsi="MS Mincho" w:eastAsia="MS Mincho"/>
                <w:b w:val="0"/>
                <w:i w:val="0"/>
                <w:sz w:val="16"/>
              </w:rPr>
              <w:t>0.995</w:t>
            </w:r>
          </w:p>
        </w:tc>
        <w:tc>
          <w:tcPr>
            <w:tcW w:type="dxa" w:w="936"/>
          </w:tcPr>
          <w:p>
            <w:r>
              <w:rPr>
                <w:rFonts w:ascii="MS Mincho" w:hAnsi="MS Mincho" w:eastAsia="MS Mincho"/>
                <w:b w:val="0"/>
                <w:i w:val="0"/>
                <w:sz w:val="16"/>
              </w:rPr>
              <w:t>1.108</w:t>
            </w:r>
          </w:p>
        </w:tc>
      </w:tr>
    </w:tbl>
    <w:p>
      <w:pPr>
        <w:spacing w:after="120"/>
      </w:pPr>
      <w:r>
        <w:rPr>
          <w:rFonts w:ascii="MS Mincho" w:hAnsi="MS Mincho" w:eastAsia="MS Mincho"/>
          <w:b w:val="0"/>
          <w:i/>
          <w:sz w:val="22"/>
        </w:rPr>
        <w:t>BA = Bland–Altman；CI = 信頼区間；LoA = 一致限界；PE = 誤差率；P–B = Passing–Bablok；CCC = 一致相関係数；C_b = バイアス補正係数；v = スケールシフト。S4 は平均バイアスがほぼ0だが回帰／Deming／Passing–Bablok の傾きは明確に非ゼロで v &gt; 1、すなわち平均バイアス要約から隠れたゲイン誤差である。</w:t>
      </w:r>
    </w:p>
    <w:p>
      <w:r>
        <w:br w:type="page"/>
      </w:r>
    </w:p>
    <w:p>
      <w:pPr>
        <w:pStyle w:val="Heading1"/>
      </w:pPr>
      <w:r>
        <w:rPr>
          <w:rFonts w:ascii="MS Mincho" w:hAnsi="MS Mincho" w:eastAsia="MS Mincho"/>
          <w:b/>
          <w:i w:val="0"/>
          <w:color w:val="000000"/>
          <w:sz w:val="26"/>
        </w:rPr>
        <w:t>表2</w:t>
      </w:r>
    </w:p>
    <w:p>
      <w:pPr>
        <w:spacing w:after="120"/>
      </w:pPr>
      <w:r>
        <w:rPr>
          <w:rFonts w:ascii="MS Mincho" w:hAnsi="MS Mincho" w:eastAsia="MS Mincho"/>
          <w:b/>
          <w:i w:val="0"/>
          <w:sz w:val="22"/>
        </w:rPr>
        <w:t>表2. 脈圧（PP）と収縮期圧（SBP）の動的応答指標。</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MS Mincho" w:hAnsi="MS Mincho" w:eastAsia="MS Mincho"/>
                <w:b/>
                <w:i w:val="0"/>
                <w:sz w:val="16"/>
              </w:rPr>
              <w:t>系 (f_n, ζ)</w:t>
            </w:r>
          </w:p>
        </w:tc>
        <w:tc>
          <w:tcPr>
            <w:tcW w:type="dxa" w:w="1560"/>
          </w:tcPr>
          <w:p>
            <w:r>
              <w:rPr>
                <w:rFonts w:ascii="MS Mincho" w:hAnsi="MS Mincho" w:eastAsia="MS Mincho"/>
                <w:b/>
                <w:i w:val="0"/>
                <w:sz w:val="16"/>
              </w:rPr>
              <w:t>PP 比</w:t>
            </w:r>
          </w:p>
        </w:tc>
        <w:tc>
          <w:tcPr>
            <w:tcW w:type="dxa" w:w="1560"/>
          </w:tcPr>
          <w:p>
            <w:r>
              <w:rPr>
                <w:rFonts w:ascii="MS Mincho" w:hAnsi="MS Mincho" w:eastAsia="MS Mincho"/>
                <w:b/>
                <w:i w:val="0"/>
                <w:sz w:val="16"/>
              </w:rPr>
              <w:t>PP平均バイアス</w:t>
              <w:br/>
              <w:t>(mmHg)</w:t>
            </w:r>
          </w:p>
        </w:tc>
        <w:tc>
          <w:tcPr>
            <w:tcW w:type="dxa" w:w="1560"/>
          </w:tcPr>
          <w:p>
            <w:r>
              <w:rPr>
                <w:rFonts w:ascii="MS Mincho" w:hAnsi="MS Mincho" w:eastAsia="MS Mincho"/>
                <w:b/>
                <w:i w:val="0"/>
                <w:sz w:val="16"/>
              </w:rPr>
              <w:t>CCC (PP)</w:t>
            </w:r>
          </w:p>
        </w:tc>
        <w:tc>
          <w:tcPr>
            <w:tcW w:type="dxa" w:w="1560"/>
          </w:tcPr>
          <w:p>
            <w:r>
              <w:rPr>
                <w:rFonts w:ascii="MS Mincho" w:hAnsi="MS Mincho" w:eastAsia="MS Mincho"/>
                <w:b/>
                <w:i w:val="0"/>
                <w:sz w:val="16"/>
              </w:rPr>
              <w:t>v (PP)</w:t>
            </w:r>
          </w:p>
        </w:tc>
        <w:tc>
          <w:tcPr>
            <w:tcW w:type="dxa" w:w="1560"/>
          </w:tcPr>
          <w:p>
            <w:r>
              <w:rPr>
                <w:rFonts w:ascii="MS Mincho" w:hAnsi="MS Mincho" w:eastAsia="MS Mincho"/>
                <w:b/>
                <w:i w:val="0"/>
                <w:sz w:val="16"/>
              </w:rPr>
              <w:t>SBP平均バイアス</w:t>
              <w:br/>
              <w:t>(mmHg)</w:t>
            </w:r>
          </w:p>
        </w:tc>
      </w:tr>
      <w:tr>
        <w:tc>
          <w:tcPr>
            <w:tcW w:type="dxa" w:w="1560"/>
          </w:tcPr>
          <w:p>
            <w:r>
              <w:rPr>
                <w:rFonts w:ascii="MS Mincho" w:hAnsi="MS Mincho" w:eastAsia="MS Mincho"/>
                <w:b w:val="0"/>
                <w:i w:val="0"/>
                <w:sz w:val="16"/>
              </w:rPr>
              <w:t>最適 (25 Hz, 0.65)</w:t>
            </w:r>
          </w:p>
        </w:tc>
        <w:tc>
          <w:tcPr>
            <w:tcW w:type="dxa" w:w="1560"/>
          </w:tcPr>
          <w:p>
            <w:r>
              <w:rPr>
                <w:rFonts w:ascii="MS Mincho" w:hAnsi="MS Mincho" w:eastAsia="MS Mincho"/>
                <w:b w:val="0"/>
                <w:i w:val="0"/>
                <w:sz w:val="16"/>
              </w:rPr>
              <w:t>1.01</w:t>
            </w:r>
          </w:p>
        </w:tc>
        <w:tc>
          <w:tcPr>
            <w:tcW w:type="dxa" w:w="1560"/>
          </w:tcPr>
          <w:p>
            <w:r>
              <w:rPr>
                <w:rFonts w:ascii="MS Mincho" w:hAnsi="MS Mincho" w:eastAsia="MS Mincho"/>
                <w:b w:val="0"/>
                <w:i w:val="0"/>
                <w:sz w:val="16"/>
              </w:rPr>
              <w:t>+0.3</w:t>
            </w:r>
          </w:p>
        </w:tc>
        <w:tc>
          <w:tcPr>
            <w:tcW w:type="dxa" w:w="1560"/>
          </w:tcPr>
          <w:p>
            <w:r>
              <w:rPr>
                <w:rFonts w:ascii="MS Mincho" w:hAnsi="MS Mincho" w:eastAsia="MS Mincho"/>
                <w:b w:val="0"/>
                <w:i w:val="0"/>
                <w:sz w:val="16"/>
              </w:rPr>
              <w:t>0.973</w:t>
            </w:r>
          </w:p>
        </w:tc>
        <w:tc>
          <w:tcPr>
            <w:tcW w:type="dxa" w:w="1560"/>
          </w:tcPr>
          <w:p>
            <w:r>
              <w:rPr>
                <w:rFonts w:ascii="MS Mincho" w:hAnsi="MS Mincho" w:eastAsia="MS Mincho"/>
                <w:b w:val="0"/>
                <w:i w:val="0"/>
                <w:sz w:val="16"/>
              </w:rPr>
              <w:t>1.030</w:t>
            </w:r>
          </w:p>
        </w:tc>
        <w:tc>
          <w:tcPr>
            <w:tcW w:type="dxa" w:w="1560"/>
          </w:tcPr>
          <w:p>
            <w:r>
              <w:rPr>
                <w:rFonts w:ascii="MS Mincho" w:hAnsi="MS Mincho" w:eastAsia="MS Mincho"/>
                <w:b w:val="0"/>
                <w:i w:val="0"/>
                <w:sz w:val="16"/>
              </w:rPr>
              <w:t>+0.2</w:t>
            </w:r>
          </w:p>
        </w:tc>
      </w:tr>
      <w:tr>
        <w:tc>
          <w:tcPr>
            <w:tcW w:type="dxa" w:w="1560"/>
          </w:tcPr>
          <w:p>
            <w:r>
              <w:rPr>
                <w:rFonts w:ascii="MS Mincho" w:hAnsi="MS Mincho" w:eastAsia="MS Mincho"/>
                <w:b w:val="0"/>
                <w:i w:val="0"/>
                <w:sz w:val="16"/>
              </w:rPr>
              <w:t>低制動 (10 Hz, 0.15)</w:t>
            </w:r>
          </w:p>
        </w:tc>
        <w:tc>
          <w:tcPr>
            <w:tcW w:type="dxa" w:w="1560"/>
          </w:tcPr>
          <w:p>
            <w:r>
              <w:rPr>
                <w:rFonts w:ascii="MS Mincho" w:hAnsi="MS Mincho" w:eastAsia="MS Mincho"/>
                <w:b w:val="0"/>
                <w:i w:val="0"/>
                <w:sz w:val="16"/>
              </w:rPr>
              <w:t>1.24</w:t>
            </w:r>
          </w:p>
        </w:tc>
        <w:tc>
          <w:tcPr>
            <w:tcW w:type="dxa" w:w="1560"/>
          </w:tcPr>
          <w:p>
            <w:r>
              <w:rPr>
                <w:rFonts w:ascii="MS Mincho" w:hAnsi="MS Mincho" w:eastAsia="MS Mincho"/>
                <w:b w:val="0"/>
                <w:i w:val="0"/>
                <w:sz w:val="16"/>
              </w:rPr>
              <w:t>+10.7</w:t>
            </w:r>
          </w:p>
        </w:tc>
        <w:tc>
          <w:tcPr>
            <w:tcW w:type="dxa" w:w="1560"/>
          </w:tcPr>
          <w:p>
            <w:r>
              <w:rPr>
                <w:rFonts w:ascii="MS Mincho" w:hAnsi="MS Mincho" w:eastAsia="MS Mincho"/>
                <w:b w:val="0"/>
                <w:i w:val="0"/>
                <w:sz w:val="16"/>
              </w:rPr>
              <w:t>0.588</w:t>
            </w:r>
          </w:p>
        </w:tc>
        <w:tc>
          <w:tcPr>
            <w:tcW w:type="dxa" w:w="1560"/>
          </w:tcPr>
          <w:p>
            <w:r>
              <w:rPr>
                <w:rFonts w:ascii="MS Mincho" w:hAnsi="MS Mincho" w:eastAsia="MS Mincho"/>
                <w:b w:val="0"/>
                <w:i w:val="0"/>
                <w:sz w:val="16"/>
              </w:rPr>
              <w:t>1.277</w:t>
            </w:r>
          </w:p>
        </w:tc>
        <w:tc>
          <w:tcPr>
            <w:tcW w:type="dxa" w:w="1560"/>
          </w:tcPr>
          <w:p>
            <w:r>
              <w:rPr>
                <w:rFonts w:ascii="MS Mincho" w:hAnsi="MS Mincho" w:eastAsia="MS Mincho"/>
                <w:b w:val="0"/>
                <w:i w:val="0"/>
                <w:sz w:val="16"/>
              </w:rPr>
              <w:t>+7.6</w:t>
            </w:r>
          </w:p>
        </w:tc>
      </w:tr>
      <w:tr>
        <w:tc>
          <w:tcPr>
            <w:tcW w:type="dxa" w:w="1560"/>
          </w:tcPr>
          <w:p>
            <w:r>
              <w:rPr>
                <w:rFonts w:ascii="MS Mincho" w:hAnsi="MS Mincho" w:eastAsia="MS Mincho"/>
                <w:b w:val="0"/>
                <w:i w:val="0"/>
                <w:sz w:val="16"/>
              </w:rPr>
              <w:t>過制動 (8 Hz, 0.80)</w:t>
            </w:r>
          </w:p>
        </w:tc>
        <w:tc>
          <w:tcPr>
            <w:tcW w:type="dxa" w:w="1560"/>
          </w:tcPr>
          <w:p>
            <w:r>
              <w:rPr>
                <w:rFonts w:ascii="MS Mincho" w:hAnsi="MS Mincho" w:eastAsia="MS Mincho"/>
                <w:b w:val="0"/>
                <w:i w:val="0"/>
                <w:sz w:val="16"/>
              </w:rPr>
              <w:t>0.92</w:t>
            </w:r>
          </w:p>
        </w:tc>
        <w:tc>
          <w:tcPr>
            <w:tcW w:type="dxa" w:w="1560"/>
          </w:tcPr>
          <w:p>
            <w:r>
              <w:rPr>
                <w:rFonts w:ascii="MS Mincho" w:hAnsi="MS Mincho" w:eastAsia="MS Mincho"/>
                <w:b w:val="0"/>
                <w:i w:val="0"/>
                <w:sz w:val="16"/>
              </w:rPr>
              <w:t>-3.4</w:t>
            </w:r>
          </w:p>
        </w:tc>
        <w:tc>
          <w:tcPr>
            <w:tcW w:type="dxa" w:w="1560"/>
          </w:tcPr>
          <w:p>
            <w:r>
              <w:rPr>
                <w:rFonts w:ascii="MS Mincho" w:hAnsi="MS Mincho" w:eastAsia="MS Mincho"/>
                <w:b w:val="0"/>
                <w:i w:val="0"/>
                <w:sz w:val="16"/>
              </w:rPr>
              <w:t>0.891</w:t>
            </w:r>
          </w:p>
        </w:tc>
        <w:tc>
          <w:tcPr>
            <w:tcW w:type="dxa" w:w="1560"/>
          </w:tcPr>
          <w:p>
            <w:r>
              <w:rPr>
                <w:rFonts w:ascii="MS Mincho" w:hAnsi="MS Mincho" w:eastAsia="MS Mincho"/>
                <w:b w:val="0"/>
                <w:i w:val="0"/>
                <w:sz w:val="16"/>
              </w:rPr>
              <w:t>0.989</w:t>
            </w:r>
          </w:p>
        </w:tc>
        <w:tc>
          <w:tcPr>
            <w:tcW w:type="dxa" w:w="1560"/>
          </w:tcPr>
          <w:p>
            <w:r>
              <w:rPr>
                <w:rFonts w:ascii="MS Mincho" w:hAnsi="MS Mincho" w:eastAsia="MS Mincho"/>
                <w:b w:val="0"/>
                <w:i w:val="0"/>
                <w:sz w:val="16"/>
              </w:rPr>
              <w:t>-3.4</w:t>
            </w:r>
          </w:p>
        </w:tc>
      </w:tr>
    </w:tbl>
    <w:p>
      <w:pPr>
        <w:spacing w:after="120"/>
      </w:pPr>
      <w:r>
        <w:rPr>
          <w:rFonts w:ascii="MS Mincho" w:hAnsi="MS Mincho" w:eastAsia="MS Mincho"/>
          <w:b w:val="0"/>
          <w:i/>
          <w:sz w:val="22"/>
        </w:rPr>
        <w:t>PP 比 = 平均(計測 PP / 真の PP)；f_n = 固有周波数；ζ = 制動係数。低制動は脈圧を過大評価し、過制動は減衰させる。平均動脈（DC）水準は保存されるため、ゼロ校正ではこれらの誤差は補正されない。</w:t>
      </w:r>
    </w:p>
    <w:p>
      <w:r>
        <w:br w:type="page"/>
      </w:r>
    </w:p>
    <w:p>
      <w:pPr>
        <w:pStyle w:val="Heading1"/>
      </w:pPr>
      <w:r>
        <w:rPr>
          <w:rFonts w:ascii="MS Mincho" w:hAnsi="MS Mincho" w:eastAsia="MS Mincho"/>
          <w:b/>
          <w:i w:val="0"/>
          <w:color w:val="000000"/>
          <w:sz w:val="26"/>
        </w:rPr>
        <w:t>図の説明</w:t>
      </w:r>
    </w:p>
    <w:p>
      <w:pPr>
        <w:spacing w:after="120"/>
      </w:pPr>
      <w:r>
        <w:rPr>
          <w:rFonts w:ascii="MS Mincho" w:hAnsi="MS Mincho" w:eastAsia="MS Mincho"/>
          <w:b w:val="0"/>
          <w:i w:val="0"/>
          <w:sz w:val="22"/>
        </w:rPr>
        <w:t>図1. 動脈圧信号の分解。(A) DC オフセットは基線を移動させるが脈圧は不変。(B) ゲイン誤差は波形全体をスケールし、脈圧はゲインに比例して変化する。ゼロ校正は (A) のオフセットを補正するが (B) のゲイン誤差は補正できない。</w:t>
      </w:r>
    </w:p>
    <w:p>
      <w:pPr>
        <w:spacing w:after="120"/>
      </w:pPr>
      <w:r>
        <w:rPr>
          <w:rFonts w:ascii="MS Mincho" w:hAnsi="MS Mincho" w:eastAsia="MS Mincho"/>
          <w:b w:val="0"/>
          <w:i w:val="0"/>
          <w:sz w:val="22"/>
        </w:rPr>
        <w:t>図2. 4つの静的シナリオにおける機器対基準の一致（破線＝同一線）。各パネルに CCC、CCC スケールシフト v、Bland–Altman 平均バイアスを示す。S4 は10%のゲイン誤差にもかかわらず平均バイアスがほぼ0である。</w:t>
      </w:r>
    </w:p>
    <w:p>
      <w:pPr>
        <w:spacing w:after="120"/>
      </w:pPr>
      <w:r>
        <w:rPr>
          <w:rFonts w:ascii="MS Mincho" w:hAnsi="MS Mincho" w:eastAsia="MS Mincho"/>
          <w:b w:val="0"/>
          <w:i w:val="0"/>
          <w:sz w:val="22"/>
        </w:rPr>
        <w:t>図3. 各シナリオでどの報告解析が誤差を検出するか（緑＝検出、灰＝見逃し）。S4 では平均バイアス要約が見逃すゲイン誤差を、比例バイアスを検出する全解析が検出する。</w:t>
      </w:r>
    </w:p>
    <w:p>
      <w:pPr>
        <w:spacing w:after="120"/>
      </w:pPr>
      <w:r>
        <w:rPr>
          <w:rFonts w:ascii="MS Mincho" w:hAnsi="MS Mincho" w:eastAsia="MS Mincho"/>
          <w:b w:val="0"/>
          <w:i w:val="0"/>
          <w:sz w:val="22"/>
        </w:rPr>
        <w:t>図4. Bland–Altman 差対平均プロット。S2 では回帰の傾きは平坦だが、S4 では平均バイアスがほぼ0であるにもかかわらず傾きが明確に正であり、隠れた比例（ゲイン）誤差が明らかになる。</w:t>
      </w:r>
    </w:p>
    <w:p>
      <w:pPr>
        <w:spacing w:after="120"/>
      </w:pPr>
      <w:r>
        <w:rPr>
          <w:rFonts w:ascii="MS Mincho" w:hAnsi="MS Mincho" w:eastAsia="MS Mincho"/>
          <w:b w:val="0"/>
          <w:i w:val="0"/>
          <w:sz w:val="22"/>
        </w:rPr>
        <w:t>図5. カテーテル–トランスデューサ系の動的応答。(A) 最適・低制動・過制動系の周波数応答と動脈圧高調波の重ね書き。(B) 波形例。(C) 系ごとの平均 PP 比を付した計測脈圧対真の脈圧。</w:t>
      </w:r>
    </w:p>
    <w:p>
      <w:pPr>
        <w:spacing w:after="120"/>
      </w:pPr>
      <w:r>
        <w:rPr>
          <w:rFonts w:ascii="MS Mincho" w:hAnsi="MS Mincho" w:eastAsia="MS Mincho"/>
          <w:b w:val="0"/>
          <w:i w:val="0"/>
          <w:sz w:val="22"/>
        </w:rPr>
        <w:t>図6. CCC の範囲依存性。単一の固定機器において、標本圧範囲が広がると CCC と C_b は上昇するが、スケールシフト v は真のゲイン比の近傍にとどまる。</w:t>
      </w:r>
    </w:p>
    <w:p>
      <w:r>
        <w:br w:type="page"/>
      </w:r>
    </w:p>
    <w:p>
      <w:pPr>
        <w:pStyle w:val="Heading1"/>
      </w:pPr>
      <w:r>
        <w:rPr>
          <w:rFonts w:ascii="MS Mincho" w:hAnsi="MS Mincho" w:eastAsia="MS Mincho"/>
          <w:b/>
          <w:i w:val="0"/>
          <w:color w:val="000000"/>
          <w:sz w:val="26"/>
        </w:rPr>
        <w:t>参考文献</w:t>
      </w:r>
    </w:p>
    <w:p>
      <w:pPr>
        <w:spacing w:after="60" w:line="336" w:lineRule="auto"/>
      </w:pPr>
      <w:r>
        <w:rPr>
          <w:rFonts w:ascii="MS Mincho" w:hAnsi="MS Mincho" w:eastAsia="MS Mincho"/>
          <w:b w:val="0"/>
          <w:i w:val="0"/>
          <w:sz w:val="18"/>
        </w:rPr>
        <w:t>1. Saugel B, Kouz K, Meidert AS, Schulte-Uentrop L, Romagnoli S. How to measure blood pressure using an arterial catheter: a systematic 5-step approach. Crit Care 2020; 24: 172.</w:t>
      </w:r>
    </w:p>
    <w:p>
      <w:pPr>
        <w:spacing w:after="60" w:line="336" w:lineRule="auto"/>
      </w:pPr>
      <w:r>
        <w:rPr>
          <w:rFonts w:ascii="MS Mincho" w:hAnsi="MS Mincho" w:eastAsia="MS Mincho"/>
          <w:b w:val="0"/>
          <w:i w:val="0"/>
          <w:sz w:val="18"/>
        </w:rPr>
        <w:t>2. Saugel B, Sessler DI. Perioperative blood pressure management. Anesthesiology 2021; 134: 250-261.</w:t>
      </w:r>
    </w:p>
    <w:p>
      <w:pPr>
        <w:spacing w:after="60" w:line="336" w:lineRule="auto"/>
      </w:pPr>
      <w:r>
        <w:rPr>
          <w:rFonts w:ascii="MS Mincho" w:hAnsi="MS Mincho" w:eastAsia="MS Mincho"/>
          <w:b w:val="0"/>
          <w:i w:val="0"/>
          <w:sz w:val="18"/>
        </w:rPr>
        <w:t>3. Gupta D, Jain A, Ismaeil M. Zero arterial catheters with every change in the height difference of pressure transducer and catheter insertion site. Ann Card Anaesth 2025; 28: 205.</w:t>
      </w:r>
    </w:p>
    <w:p>
      <w:pPr>
        <w:spacing w:after="60" w:line="336" w:lineRule="auto"/>
      </w:pPr>
      <w:r>
        <w:rPr>
          <w:rFonts w:ascii="MS Mincho" w:hAnsi="MS Mincho" w:eastAsia="MS Mincho"/>
          <w:b w:val="0"/>
          <w:i w:val="0"/>
          <w:sz w:val="18"/>
        </w:rPr>
        <w:t>4. Mark JB. Atlas of Cardiovascular Monitoring. New York: Churchill Livingstone; 1998.</w:t>
      </w:r>
    </w:p>
    <w:p>
      <w:pPr>
        <w:spacing w:after="60" w:line="336" w:lineRule="auto"/>
      </w:pPr>
      <w:r>
        <w:rPr>
          <w:rFonts w:ascii="MS Mincho" w:hAnsi="MS Mincho" w:eastAsia="MS Mincho"/>
          <w:b w:val="0"/>
          <w:i w:val="0"/>
          <w:sz w:val="18"/>
        </w:rPr>
        <w:t>5. McGhee BH, Bridges MEJ. Monitoring arterial blood pressure: what you may not know. Crit Care Nurse 2002; 22: 60-79.</w:t>
      </w:r>
    </w:p>
    <w:p>
      <w:pPr>
        <w:spacing w:after="60" w:line="336" w:lineRule="auto"/>
      </w:pPr>
      <w:r>
        <w:rPr>
          <w:rFonts w:ascii="MS Mincho" w:hAnsi="MS Mincho" w:eastAsia="MS Mincho"/>
          <w:b w:val="0"/>
          <w:i w:val="0"/>
          <w:sz w:val="18"/>
        </w:rPr>
        <w:t>6. Gardner RM. Direct blood pressure measurement—dynamic response requirements. Anesthesiology 1981; 54: 227-236.</w:t>
      </w:r>
    </w:p>
    <w:p>
      <w:pPr>
        <w:spacing w:after="60" w:line="336" w:lineRule="auto"/>
      </w:pPr>
      <w:r>
        <w:rPr>
          <w:rFonts w:ascii="MS Mincho" w:hAnsi="MS Mincho" w:eastAsia="MS Mincho"/>
          <w:b w:val="0"/>
          <w:i w:val="0"/>
          <w:sz w:val="18"/>
        </w:rPr>
        <w:t>7. Bland JM, Altman DG. Statistical methods for assessing agreement between two methods of clinical measurement. Lancet 1986; 327: 307-310.</w:t>
      </w:r>
    </w:p>
    <w:p>
      <w:pPr>
        <w:spacing w:after="60" w:line="336" w:lineRule="auto"/>
      </w:pPr>
      <w:r>
        <w:rPr>
          <w:rFonts w:ascii="MS Mincho" w:hAnsi="MS Mincho" w:eastAsia="MS Mincho"/>
          <w:b w:val="0"/>
          <w:i w:val="0"/>
          <w:sz w:val="18"/>
        </w:rPr>
        <w:t>8. Critchley LAH, Critchley JAJH. A meta-analysis of studies using bias and precision statistics to compare cardiac output measurement techniques. J Clin Monit Comput 1999; 15: 85-91.</w:t>
      </w:r>
    </w:p>
    <w:p>
      <w:pPr>
        <w:spacing w:after="60" w:line="336" w:lineRule="auto"/>
      </w:pPr>
      <w:r>
        <w:rPr>
          <w:rFonts w:ascii="MS Mincho" w:hAnsi="MS Mincho" w:eastAsia="MS Mincho"/>
          <w:b w:val="0"/>
          <w:i w:val="0"/>
          <w:sz w:val="18"/>
        </w:rPr>
        <w:t>9. Cecconi M, Rhodes A, Poloniecki J, Della Rocca G, Grounds RM. Bench-to-bedside review: the importance of the precision of the reference technique in method comparison studies. Crit Care 2009; 13: 201.</w:t>
      </w:r>
    </w:p>
    <w:p>
      <w:pPr>
        <w:spacing w:after="60" w:line="336" w:lineRule="auto"/>
      </w:pPr>
      <w:r>
        <w:rPr>
          <w:rFonts w:ascii="MS Mincho" w:hAnsi="MS Mincho" w:eastAsia="MS Mincho"/>
          <w:b w:val="0"/>
          <w:i w:val="0"/>
          <w:sz w:val="18"/>
        </w:rPr>
        <w:t>10. Bland JM, Altman DG. Measuring agreement in method comparison studies. Stat Methods Med Res 1999; 8: 135-160.</w:t>
      </w:r>
    </w:p>
    <w:p>
      <w:pPr>
        <w:spacing w:after="60" w:line="336" w:lineRule="auto"/>
      </w:pPr>
      <w:r>
        <w:rPr>
          <w:rFonts w:ascii="MS Mincho" w:hAnsi="MS Mincho" w:eastAsia="MS Mincho"/>
          <w:b w:val="0"/>
          <w:i w:val="0"/>
          <w:sz w:val="18"/>
        </w:rPr>
        <w:t>11. Lin LI. A concordance correlation coefficient to evaluate reproducibility. Biometrics 1989; 45: 255-268.</w:t>
      </w:r>
    </w:p>
    <w:p>
      <w:pPr>
        <w:spacing w:after="60" w:line="336" w:lineRule="auto"/>
      </w:pPr>
      <w:r>
        <w:rPr>
          <w:rFonts w:ascii="MS Mincho" w:hAnsi="MS Mincho" w:eastAsia="MS Mincho"/>
          <w:b w:val="0"/>
          <w:i w:val="0"/>
          <w:sz w:val="18"/>
        </w:rPr>
        <w:t>12. Lin LI. A note on the concordance correlation coefficient. Biometrics 2000; 56: 324-325.</w:t>
      </w:r>
    </w:p>
    <w:p>
      <w:pPr>
        <w:spacing w:after="60" w:line="336" w:lineRule="auto"/>
      </w:pPr>
      <w:r>
        <w:rPr>
          <w:rFonts w:ascii="MS Mincho" w:hAnsi="MS Mincho" w:eastAsia="MS Mincho"/>
          <w:b w:val="0"/>
          <w:i w:val="0"/>
          <w:sz w:val="18"/>
        </w:rPr>
        <w:t>13. Linnet K. Estimation of the linear relationship between the measurements of two methods with proportional errors. Stat Med 1990; 9: 1463-1473.</w:t>
      </w:r>
    </w:p>
    <w:p>
      <w:pPr>
        <w:spacing w:after="60" w:line="336" w:lineRule="auto"/>
      </w:pPr>
      <w:r>
        <w:rPr>
          <w:rFonts w:ascii="MS Mincho" w:hAnsi="MS Mincho" w:eastAsia="MS Mincho"/>
          <w:b w:val="0"/>
          <w:i w:val="0"/>
          <w:sz w:val="18"/>
        </w:rPr>
        <w:t>14. Passing H, Bablok W. A new biometrical procedure for testing the equality of measurements from two different analytical methods. J Clin Chem Clin Biochem 1983; 21: 709-720.</w:t>
      </w:r>
    </w:p>
    <w:p>
      <w:pPr>
        <w:spacing w:after="60" w:line="336" w:lineRule="auto"/>
      </w:pPr>
      <w:r>
        <w:rPr>
          <w:rFonts w:ascii="MS Mincho" w:hAnsi="MS Mincho" w:eastAsia="MS Mincho"/>
          <w:b w:val="0"/>
          <w:i w:val="0"/>
          <w:sz w:val="18"/>
        </w:rPr>
        <w:t>15. Nickerson CA. A note on “A concordance correlation coefficient to evaluate reproducibility”. Biometrics 1997; 53: 1503-1507.</w:t>
      </w:r>
    </w:p>
    <w:p>
      <w:pPr>
        <w:spacing w:after="60" w:line="336" w:lineRule="auto"/>
      </w:pPr>
      <w:r>
        <w:rPr>
          <w:rFonts w:ascii="MS Mincho" w:hAnsi="MS Mincho" w:eastAsia="MS Mincho"/>
          <w:b w:val="0"/>
          <w:i w:val="0"/>
          <w:sz w:val="18"/>
        </w:rPr>
        <w:t>16. Barnhart HX, Haber MJ, Lin LI. An overview on assessing agreement with continuous measurements. J Biopharm Stat 2007; 17: 529-569.</w:t>
      </w:r>
    </w:p>
    <w:p>
      <w:pPr>
        <w:spacing w:after="60" w:line="336" w:lineRule="auto"/>
      </w:pPr>
      <w:r>
        <w:rPr>
          <w:rFonts w:ascii="MS Mincho" w:hAnsi="MS Mincho" w:eastAsia="MS Mincho"/>
          <w:b w:val="0"/>
          <w:i w:val="0"/>
          <w:sz w:val="18"/>
        </w:rPr>
        <w:t>17. McBride GB. A proposal for strength-of-agreement criteria for Lin's concordance correlation coefficient. NIWA Client Report HAM2005-062. Hamilton: National Institute of Water and Atmospheric Research; 2005.</w:t>
      </w:r>
    </w:p>
    <w:p>
      <w:pPr>
        <w:spacing w:after="60" w:line="336" w:lineRule="auto"/>
      </w:pPr>
      <w:r>
        <w:rPr>
          <w:rFonts w:ascii="MS Mincho" w:hAnsi="MS Mincho" w:eastAsia="MS Mincho"/>
          <w:b w:val="0"/>
          <w:i w:val="0"/>
          <w:sz w:val="18"/>
        </w:rPr>
        <w:t>18. Kleinman B, Powell S, Kumar P, Gardner RM. The fast flush test measures the dynamic response of the entire blood pressure monitoring system. Anesthesiology 1992; 77: 1215-1220.</w:t>
      </w:r>
    </w:p>
    <w:p>
      <w:pPr>
        <w:spacing w:after="60" w:line="336" w:lineRule="auto"/>
      </w:pPr>
      <w:r>
        <w:rPr>
          <w:rFonts w:ascii="MS Mincho" w:hAnsi="MS Mincho" w:eastAsia="MS Mincho"/>
          <w:b w:val="0"/>
          <w:i w:val="0"/>
          <w:sz w:val="18"/>
        </w:rPr>
        <w:t>19. Romagnoli S, Ricci Z, Quattrone D, Tofani L, Tujjar O, Villa G, et al. Accuracy of invasive arterial pressure monitoring in cardiovascular patients: an observational study. Crit Care 2014; 18: 644.</w:t>
      </w:r>
    </w:p>
    <w:p>
      <w:pPr>
        <w:spacing w:after="60" w:line="336" w:lineRule="auto"/>
      </w:pPr>
      <w:r>
        <w:rPr>
          <w:rFonts w:ascii="MS Mincho" w:hAnsi="MS Mincho" w:eastAsia="MS Mincho"/>
          <w:b w:val="0"/>
          <w:i w:val="0"/>
          <w:sz w:val="18"/>
        </w:rPr>
        <w:t>20. Kim SH, Lilot M, Sidhu KS, Rinehart J, Yu Z, Canales C, et al. Accuracy and precision of continuous noninvasive arterial pressure monitoring compared with invasive arterial pressure: a systematic review and meta-analysis. Anesthesiology 2014; 120: 1080-1097.</w:t>
      </w:r>
    </w:p>
    <w:p>
      <w:pPr>
        <w:spacing w:after="60" w:line="336" w:lineRule="auto"/>
      </w:pPr>
      <w:r>
        <w:rPr>
          <w:rFonts w:ascii="MS Mincho" w:hAnsi="MS Mincho" w:eastAsia="MS Mincho"/>
          <w:b w:val="0"/>
          <w:i w:val="0"/>
          <w:sz w:val="18"/>
        </w:rPr>
        <w:t>21. Joosten A, Desebbe O, Suehiro K, Murphy L, Essiet M, Alexander B, et al. Accuracy and precision of non-invasive cardiac output monitoring devices in perioperative medicine: a systematic review and meta-analysis. Br J Anaesth 2017; 118: 298-310.</w:t>
      </w:r>
    </w:p>
    <w:p>
      <w:pPr>
        <w:spacing w:after="60" w:line="336" w:lineRule="auto"/>
      </w:pPr>
      <w:r>
        <w:rPr>
          <w:rFonts w:ascii="MS Mincho" w:hAnsi="MS Mincho" w:eastAsia="MS Mincho"/>
          <w:b w:val="0"/>
          <w:i w:val="0"/>
          <w:sz w:val="18"/>
        </w:rPr>
        <w:t>22. Odor PM, Bampoe S, Cecconi M. Cardiac output monitoring: validation studies—how results should be presented. Curr Anesthesiol Rep 2017; 7: 410-415.</w:t>
      </w:r>
    </w:p>
    <w:p>
      <w:pPr>
        <w:spacing w:after="60" w:line="336" w:lineRule="auto"/>
      </w:pPr>
      <w:r>
        <w:rPr>
          <w:rFonts w:ascii="MS Mincho" w:hAnsi="MS Mincho" w:eastAsia="MS Mincho"/>
          <w:b w:val="0"/>
          <w:i w:val="0"/>
          <w:sz w:val="18"/>
        </w:rPr>
        <w:t>23. Hasenkamp W, Forchelet D, Pataky K, Villard J, van Lintel H, Bertsch A, et al. Polyimide/SU-8 catheter-tip MEMS gauge pressure sensor. Biomed Microdevices 2012; 14: 819-828.</w:t>
      </w:r>
    </w:p>
    <w:p>
      <w:pPr>
        <w:spacing w:after="60" w:line="336" w:lineRule="auto"/>
      </w:pPr>
      <w:r>
        <w:rPr>
          <w:rFonts w:ascii="MS Mincho" w:hAnsi="MS Mincho" w:eastAsia="MS Mincho"/>
          <w:b w:val="0"/>
          <w:i w:val="0"/>
          <w:sz w:val="18"/>
        </w:rPr>
        <w:t>24. Song P, Ma Z, Ma J, Yang L, Wei J, Zhao Y, et al. Recent progress of miniature MEMS pressure sensors. Micromachines (Basel) 2020; 11: 56.</w:t>
      </w:r>
    </w:p>
    <w:p>
      <w:pPr>
        <w:spacing w:after="60" w:line="336" w:lineRule="auto"/>
      </w:pPr>
      <w:r>
        <w:rPr>
          <w:rFonts w:ascii="MS Mincho" w:hAnsi="MS Mincho" w:eastAsia="MS Mincho"/>
          <w:b w:val="0"/>
          <w:i w:val="0"/>
          <w:sz w:val="18"/>
        </w:rPr>
        <w:t>25. Kang Y, Mouring S, de Clerck A, Mao S, Ng W, Ruan H. Development of a flexible integrated self-calibrating MEMS pressure sensor using a liquid-to-vapor phase change. Sensors (Basel) 2022; 22: 9737.</w:t>
      </w:r>
    </w:p>
    <w:p>
      <w:pPr>
        <w:spacing w:after="60" w:line="336" w:lineRule="auto"/>
      </w:pPr>
      <w:r>
        <w:rPr>
          <w:rFonts w:ascii="MS Mincho" w:hAnsi="MS Mincho" w:eastAsia="MS Mincho"/>
          <w:b w:val="0"/>
          <w:i w:val="0"/>
          <w:sz w:val="18"/>
        </w:rPr>
        <w:t>26. Scalia A, Ghafari C, Navarre W, Delmotte P, Phillips R, Carlier S. High fidelity pressure wires provide accurate validation of non-invasive central blood pressure and pulse wave velocity measurements. Biomedicines 2023; 11: 1235.</w:t>
      </w:r>
    </w:p>
    <w:p>
      <w:pPr>
        <w:spacing w:after="60" w:line="336" w:lineRule="auto"/>
      </w:pPr>
      <w:r>
        <w:rPr>
          <w:rFonts w:ascii="MS Mincho" w:hAnsi="MS Mincho" w:eastAsia="MS Mincho"/>
          <w:b w:val="0"/>
          <w:i w:val="0"/>
          <w:sz w:val="18"/>
        </w:rPr>
        <w:t>27. Barlian AA, Park WT, Mallon JR, Rastegar AJ, Pruitt BL. Review: semiconductor piezoresistance for microsystems. Proc IEEE 2009; 97: 513-552.</w:t>
      </w:r>
    </w:p>
    <w:p>
      <w:pPr>
        <w:spacing w:after="60" w:line="336" w:lineRule="auto"/>
      </w:pPr>
      <w:r>
        <w:rPr>
          <w:rFonts w:ascii="MS Mincho" w:hAnsi="MS Mincho" w:eastAsia="MS Mincho"/>
          <w:b w:val="0"/>
          <w:i w:val="0"/>
          <w:sz w:val="18"/>
        </w:rPr>
        <w:t>28. Chatterjee K. The Swan–Ganz catheters: past, present, and future. Circulation 2009; 119: 147-152.</w:t>
      </w:r>
    </w:p>
    <w:p>
      <w:pPr>
        <w:spacing w:after="60" w:line="336" w:lineRule="auto"/>
      </w:pPr>
      <w:r>
        <w:rPr>
          <w:rFonts w:ascii="MS Mincho" w:hAnsi="MS Mincho" w:eastAsia="MS Mincho"/>
          <w:b w:val="0"/>
          <w:i w:val="0"/>
          <w:sz w:val="18"/>
        </w:rPr>
        <w:t>29. Ameloot K, Palmers PJ, Malbrain MLNG. The accuracy of noninvasive cardiac output and pressure measurements with finger cuff: a concise review. Curr Opin Crit Care 2015; 21: 232-239.</w:t>
      </w:r>
    </w:p>
    <w:p>
      <w:pPr>
        <w:spacing w:after="60" w:line="336" w:lineRule="auto"/>
      </w:pPr>
      <w:r>
        <w:rPr>
          <w:rFonts w:ascii="MS Mincho" w:hAnsi="MS Mincho" w:eastAsia="MS Mincho"/>
          <w:b w:val="0"/>
          <w:i w:val="0"/>
          <w:sz w:val="18"/>
        </w:rPr>
        <w:t>30. Squara P, Denjean D, Estagnasie P, Brusset A, Dib JC, Dubois C. Noninvasive cardiac output monitoring (NICOM): a clinical validation. Intensive Care Med 2007; 33: 1191-1194.</w:t>
      </w:r>
    </w:p>
    <w:p>
      <w:pPr>
        <w:spacing w:after="60" w:line="336" w:lineRule="auto"/>
      </w:pPr>
      <w:r>
        <w:rPr>
          <w:rFonts w:ascii="MS Mincho" w:hAnsi="MS Mincho" w:eastAsia="MS Mincho"/>
          <w:b w:val="0"/>
          <w:i w:val="0"/>
          <w:sz w:val="18"/>
        </w:rPr>
        <w:t>31. Manecke GR. Edwards FloTrac sensor and Vigileo monitor: easy, accurate, reliable cardiac output assessment using the arterial pulse wave. Expert Rev Med Devices 2005; 2: 523-527.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56" w:lineRule="auto" w:after="0"/>
    </w:pPr>
    <w:rPr>
      <w:rFonts w:ascii="MS Mincho" w:hAnsi="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