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Journal of Epidemiology &amp; Community Health</w:t>
      </w:r>
    </w:p>
    <w:p>
      <w:r>
        <w:rPr>
          <w:rFonts w:ascii="Times New Roman" w:hAnsi="Times New Roman"/>
          <w:b w:val="0"/>
          <w:i w:val="0"/>
          <w:sz w:val="24"/>
        </w:rPr>
        <w:t>BMJ Publishing Group</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under universal coverage in Japan: a cross-sectional ecological study of secondary medical areas" for possible publication in the Journal of Epidemiology &amp; Community Health as an Original Research Article.</w:t>
      </w:r>
    </w:p>
    <w:p>
      <w:r>
        <w:rPr>
          <w:rFonts w:ascii="Times New Roman" w:hAnsi="Times New Roman"/>
          <w:b w:val="0"/>
          <w:i w:val="0"/>
          <w:sz w:val="24"/>
        </w:rPr>
        <w:t>The manuscript addresses a question at the intersection of health-services epidemiology and public health policy: when routine administrative claims data show large geographic variation in anaesthesia practice,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three pre-specified sensitivity analyses, we show that the observed variation is predominantly structural -- driven by access to university hospitals -- rather than an audit artefact. We therefore believe the paper is a strong fit for the Journal's interest in population health, health-system performance and small-area variation, and for its broad international public health readership.</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85.5% occurred within prefectures where audit policy is uniform. University hospital presence alone explained 0.358 of total variance and was positive in all 47 prefectures, with a large effect size (Cohen's d 1.88). Sensitivity analyses for maximum plausible audit impact, within-prefecture variance decomposition, and code correlations converged in rejecting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the Journal of Epidemiology &amp; Community Health.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The contribution of artificial intelligence tooling (use of Devin / Cognition AI as a coding assistant for data processing, statistical modelling and visualisation, with all scientific interpretation performed by the human authors) is declared in the Contributorship section of the End-Matter file.</w:t>
      </w:r>
    </w:p>
    <w:p>
      <w:r>
        <w:rPr>
          <w:rFonts w:ascii="Times New Roman" w:hAnsi="Times New Roman"/>
          <w:b w:val="0"/>
          <w:i w:val="0"/>
          <w:sz w:val="24"/>
        </w:rPr>
        <w:t>The manuscript is within the Journal of Epidemiology &amp; Community Health length requirements for an Original Research Article (main text approximately 3,400 words; structured abstract within 250 words; 3 tables and 2 figures; 21 references). We have uploaded a separate title page, the anonymised main manuscript, End-Matter (Contributorship, Ethics, Funding, Conflict of interests, Acknowledgments, Data Availability) and the STROBE checklist.</w:t>
      </w:r>
    </w:p>
    <w:p>
      <w:r>
        <w:rPr>
          <w:rFonts w:ascii="Times New Roman" w:hAnsi="Times New Roman"/>
          <w:b w:val="0"/>
          <w:i w:val="0"/>
          <w:sz w:val="24"/>
        </w:rPr>
        <w:t>We believe our work will be of substantive interest to the Journal's international audience of epidemiologists, public health researchers and health-system decision-makers,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