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allocation: a transparent decision-analytics framework for evaluating healthcare workforce policy levers",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analytics, operations research, and decision science for healthcare. Our study sits at this intersection: it treats specialty physician workforce planning as a healthcare resource-allocation problem and uses the litigation-workforce question as a test case for a transparent, reproducible decision-analytics and policy-lever evaluation framework. The analytical contribution is diagnostic: we show how two common observational fallacies—size confounding and interpolation of sparse panel data—can be identified and removed when a proposed policy lever (malpractice-litigation risk) is evaluated against workforce outcomes, and we add cluster block-bootstrap and power diagnostics to the standard fixed-effects / equivalence-testing toolkit. To our knowledge, this is the first application of pre-specified equivalence testing and small-cluster inference diagnostics to the malpractice-litigation workforce literature. We also include a counterfactual policy-lever simulation that projects 2034 physician counts under stylised litigation-reduction and structural-incentive scenarios, making the practical decision implications of the regression results explicit.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national administrative data we use come from Japan, a setting that provides a complete, long-running test case. Using national primary data for 12 clinical specialties, we measure exposure as a size-adjusted rate (closed malpractice claims per 1,000 physicians) and estimate panel fixed-effects models with small-cluster inference, equivalence (TOST) testing, and bootstrap robustness checks. The effect of litigation risk on physician and hospital growth is statistically equivalent to a null within policy-relevant margins. We show that count-based associations disappear once specialty-size confounding and interpolation are removed, and we discuss how behavioural-economics mechanisms (saliency, loss aversion, status-quo bias) and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