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Interventions, Global AI/ML Researcher Mobility, and a Transition-Rate Framework (SHIGA)</w:t>
      </w:r>
    </w:p>
    <w:p>
      <w:pPr>
        <w:jc w:val="center"/>
      </w:pPr>
      <w:r>
        <w:t>Article type: Research Article</w:t>
      </w:r>
    </w:p>
    <w:p>
      <w:pPr>
        <w:jc w:val="center"/>
      </w:pPr>
      <w:r>
        <w:t>Approximate word count (main text incl. tables, excl. references): 9970</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0.246×).</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the purpose of the title (SHIGA): to sustain civilisational diversity through interventions in global AI/ML researcher mobility and a transition-rate framework.</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title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