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3381 words</w:t>
      </w:r>
    </w:p>
    <w:p>
      <w:r>
        <w:rPr>
          <w:rFonts w:ascii="Times New Roman" w:hAnsi="Times New Roman"/>
          <w:i/>
          <w:sz w:val="24"/>
        </w:rPr>
        <w:t>Tables: 2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Health Policy</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separating true differences in care from coding, reimbursement and audit artefacts is rarely possible. Japan's uniform fee schedule and prefecture-specific claims auditing create a natural experiment for this separation.</w:t>
      </w:r>
    </w:p>
    <w:p>
      <w:r>
        <w:rPr>
          <w:rFonts w:ascii="Times New Roman" w:hAnsi="Times New Roman"/>
          <w:sz w:val="24"/>
        </w:rPr>
        <w:t>Objective: To quantify the respective contributions of structural access (university hospital proximity) and prefectural claims auditing to regional variation in anaesthesia practice under universal health coverage.</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conducted sensitivity analyses for population density, anaesthesiologist supply, log-transformed ratios and audit rates.</w:t>
      </w:r>
    </w:p>
    <w:p>
      <w:r>
        <w:rPr>
          <w:rFonts w:ascii="Times New Roman" w:hAnsi="Times New Roman"/>
          <w:sz w:val="24"/>
        </w:rPr>
        <w:t>Results: Coefficients of variation ranged from 53.7% to 87.2%. For general anaesthesia, only 0.058 of variance lay between prefectures; university hospital presence explained 0.358 of total variance (P &lt;0.001). The association persisted after log transformation and covariate adjustment; audit-related ratio shifts were small relative to observed variation, supporting structural access over differential auditing.</w:t>
      </w:r>
    </w:p>
    <w:p>
      <w:r>
        <w:rPr>
          <w:rFonts w:ascii="Times New Roman" w:hAnsi="Times New Roman"/>
          <w:sz w:val="24"/>
        </w:rPr>
        <w:t>Conclusion: Regional variation in anaesthesia practice is predominantly structural, driven by access to university hospitals rather than by prefectural auditing. In universal-coverage systems this pattern indicates inequitable access to neuraxial techniques; policy efforts may need to address workforce and organisational barriers,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equity; universal health coverage; health policy; Japan</w:t>
      </w:r>
    </w:p>
    <w:p>
      <w:r>
        <w:br w:type="page"/>
      </w:r>
    </w:p>
    <w:p>
      <w:pPr>
        <w:spacing w:before="0" w:after="120"/>
      </w:pPr>
      <w:r>
        <w:rPr>
          <w:rFonts w:ascii="Times New Roman" w:hAnsi="Times New Roman"/>
          <w:b/>
          <w:sz w:val="26"/>
        </w:rPr>
        <w:t>1. 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an equity problem under universal coverage. The FY2022 data predate the 2026 clarification of the general-anaesthesia billing code, so any residual coding ambiguity present at that time is retained in the analysis</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2. MATERIALS AND METHODS</w:t>
      </w:r>
    </w:p>
    <w:p>
      <w:pPr>
        <w:spacing w:before="160" w:after="80"/>
      </w:pPr>
      <w:r>
        <w:rPr>
          <w:rFonts w:ascii="Times New Roman" w:hAnsi="Times New Roman"/>
          <w:b/>
          <w:sz w:val="24"/>
        </w:rPr>
        <w:t>2.1 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2.2 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2.3 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2.4 Anaesthesia procedure codes and university hospital mapping</w:t>
      </w:r>
    </w:p>
    <w:p>
      <w:r>
        <w:rPr>
          <w:rFonts w:ascii="Times New Roman" w:hAnsi="Times New Roman"/>
          <w:sz w:val="24"/>
        </w:rPr>
        <w:t>Four primary anaesthesia procedure codes from the Japanese fee schedule were used for multilevel analysis: L008 (closed-circuit general anaesthesia); L002 (epidural anaesthesia as main technique); L003 (continuous epidural infusion, largely billed as an adjunct to general anaesthesia); and L004 (spinal anaesthesia). Two additional codes, L009 (anaesthesia management fee I) and L100 (inpatient nerve block), were retained for descriptive context only, as proxies for specialist anaesthesiologist staffing and inpatient pain-clinic activity; they were not entered into the multilevel models because the hypothesised structural and audit mechanisms refer to the choice of anaesthetic technique.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160" w:after="80"/>
      </w:pPr>
      <w:r>
        <w:rPr>
          <w:rFonts w:ascii="Times New Roman" w:hAnsi="Times New Roman"/>
          <w:b/>
          <w:sz w:val="24"/>
        </w:rPr>
        <w:t>2.5 Statistical analysis</w:t>
      </w:r>
    </w:p>
    <w:p>
      <w:r>
        <w:rPr>
          <w:rFonts w:ascii="Times New Roman" w:hAnsi="Times New Roman"/>
          <w:sz w:val="24"/>
        </w:rPr>
        <w:t>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proportional reduction in total variance (sometimes labelled marginal R²) measured the decrease in total (prefecture-level plus residual) variance after adding the university-hospital fixed effect. We conducted four sensitivity analyses to test the audit hypothesis: within-prefecture paired comparisons of university and non-university areas; a covariate-adjusted model adding the natural logarithm of population density and the anaesthesiologist share of all physicians; an empirical Bayes shrinkage stress-test of area-level ratios toward prefecture means; and a log-transformed multilevel model to address right-skewed SCR distributions and influential outliers. No formal multiple-comparison adjustment was applied; reported p-values are nominal and should be interpreted as exploratory. All analyses were performed in Python 3.10 using NumPy, Pandas, SciPy and Statsmodels.</w:t>
      </w:r>
    </w:p>
    <w:p>
      <w:pPr>
        <w:spacing w:before="240" w:after="120"/>
      </w:pPr>
      <w:r>
        <w:rPr>
          <w:rFonts w:ascii="Times New Roman" w:hAnsi="Times New Roman"/>
          <w:b/>
          <w:sz w:val="26"/>
        </w:rPr>
        <w:t>3. RESULTS</w:t>
      </w:r>
    </w:p>
    <w:p>
      <w:pPr>
        <w:spacing w:before="160" w:after="80"/>
      </w:pPr>
      <w:r>
        <w:rPr>
          <w:rFonts w:ascii="Times New Roman" w:hAnsi="Times New Roman"/>
          <w:b/>
          <w:sz w:val="24"/>
        </w:rPr>
        <w:t>3.1 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the primary anaesthesia codes (Table 1).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1.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bl>
    <w:p>
      <w:pPr>
        <w:spacing w:before="120" w:after="240"/>
      </w:pPr>
      <w:r>
        <w:rPr>
          <w:rFonts w:ascii="Times New Roman" w:hAnsi="Times New Roman"/>
          <w:i/>
          <w:sz w:val="24"/>
        </w:rPr>
        <w:t>SD, standard deviation; IQR, interquartile range; CV, coefficient of variation. Primary anaesthesia codes (L009 and L100 are described in the Methods and omitted here because they were not entered into multilevel models). Areas with low claim volume are masked by the data provider and appear as missing values; the n column reflects the number of secondary medical areas with non-missing values for each code.</w:t>
      </w:r>
    </w:p>
    <w:p>
      <w:pPr>
        <w:jc w:val="center"/>
      </w:pPr>
      <w:r>
        <w:drawing>
          <wp:inline xmlns:a="http://schemas.openxmlformats.org/drawingml/2006/main" xmlns:pic="http://schemas.openxmlformats.org/drawingml/2006/picture">
            <wp:extent cx="5486400" cy="6476614"/>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486400" cy="6476614"/>
                    </a:xfrm>
                    <a:prstGeom prst="rect"/>
                  </pic:spPr>
                </pic:pic>
              </a:graphicData>
            </a:graphic>
          </wp:inline>
        </w:drawing>
      </w:r>
    </w:p>
    <w:p>
      <w:pPr>
        <w:spacing w:before="120" w:after="240"/>
      </w:pPr>
      <w:r>
        <w:rPr>
          <w:rFonts w:ascii="Times New Roman" w:hAnsi="Times New Roman"/>
          <w:b/>
          <w:sz w:val="20"/>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after="0"/>
      </w:pPr>
    </w:p>
    <w:p>
      <w:pPr>
        <w:spacing w:before="160" w:after="80"/>
      </w:pPr>
      <w:r>
        <w:rPr>
          <w:rFonts w:ascii="Times New Roman" w:hAnsi="Times New Roman"/>
          <w:b/>
          <w:sz w:val="24"/>
        </w:rPr>
        <w:t>3.2 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proportional reduction in total variance for general anaesthesia (0.358; β = 64.1, 95% confidence interval 54.8 to 73.4) and was statistically significant for every code (all P &lt;0.001) (Table 2). A log-transformed sensitivity model yielded the same direction of association for general anaesthesia (β = 0.75, 95% CI 0.61 to 0.89, P &lt;0.001), supporting the robustness of the linear model findings to right-skewed ratios and extreme outliers. University hospital areas had higher general anaesthesia ratios than non-university areas in 47 of 47 prefectures, with a mean within-prefecture difference of +63.3 points (paired t = 13.28, P &lt;0.001) (Figure 2A). Cohen's d for the university hospital effect on general anaesthesia was 1.88; on continuous epidural infusion 1.12; on epidural anaesthesia 0.59; and on spinal anaesthesia 0.40. As a robustness check we averaged the L008 and L003 standardised claim ratios (an unweighted mean, not a clinical co-administration rate; 331 areas with data for both codes); this combined measure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2.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Proportional reduction in total variance</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proportional reduction in total variance, decrease in total (prefecture + residual) variance after adding the university hospital fixed effect to the null random-intercept model.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(β = +41.8, 95% CI 32.4 to 51.2, P &lt;0.001), epidural anaesthesia (β = +39.1, 95% CI 14.5 to 63.7, P 0.002) and continuous epidural infusion (β = +33.9, 95% CI 20.0 to 47.7, P &lt;0.001). For spinal anaesthesia the point estimate was positive but no longer statistically significant (β = +9.7, 95% CI -4.0 to 23.3, P 0.165). Population density was positively associated with general anaesthesia ratios (β = 8.3, P &lt;0.001) but not with the other three codes. The anaesthesiologist share was positively associated with general, epidural, continuous epidural and spinal anaesthesia (P &lt;0.001, 0.039, &lt;0.001 and 0.005, respectively).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jc w:val="center"/>
      </w:pPr>
      <w:r>
        <w:drawing>
          <wp:inline xmlns:a="http://schemas.openxmlformats.org/drawingml/2006/main" xmlns:pic="http://schemas.openxmlformats.org/drawingml/2006/picture">
            <wp:extent cx="5486400" cy="3223724"/>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486400" cy="3223724"/>
                    </a:xfrm>
                    <a:prstGeom prst="rect"/>
                  </pic:spPr>
                </pic:pic>
              </a:graphicData>
            </a:graphic>
          </wp:inline>
        </w:drawing>
      </w:r>
    </w:p>
    <w:p>
      <w:pPr>
        <w:spacing w:before="120" w:after="240"/>
      </w:pPr>
      <w:r>
        <w:rPr>
          <w:rFonts w:ascii="Times New Roman" w:hAnsi="Times New Roman"/>
          <w:b/>
          <w:sz w:val="20"/>
        </w:rPr>
        <w:t>Figure 2. University hospital presence and the combined general-anaesthesia plus continuous-epidural measure. (A) Geographic distribution of secondary medical areas containing at least one university hospital (n = 64 of 335; red). (B) Choropleth map of the combined general-anaesthesia plus continuous-epidural standardised claim ratio (unweighted mean of L008 and L003 SCRs, not a clinical co-administration rate; 331 areas with data for both codes), shaded by quintile. Red circles mark secondary medical areas containing at least one university hospital. Areas masked by the data provider for either code are shown in grey.</w:t>
      </w:r>
    </w:p>
    <w:p>
      <w:pPr>
        <w:spacing w:after="0"/>
      </w:pPr>
    </w:p>
    <w:p>
      <w:pPr>
        <w:spacing w:before="160" w:after="80"/>
      </w:pPr>
      <w:r>
        <w:rPr>
          <w:rFonts w:ascii="Times New Roman" w:hAnsi="Times New Roman"/>
          <w:b/>
          <w:sz w:val="24"/>
        </w:rPr>
        <w:t>3.3 Sensitivity analyses against the audit hypothesis</w:t>
      </w:r>
    </w:p>
    <w:p>
      <w:r>
        <w:rPr>
          <w:rFonts w:ascii="Times New Roman" w:hAnsi="Times New Roman"/>
          <w:sz w:val="24"/>
        </w:rPr>
        <w:t>All pre-specified sensitivity analyses pointed away from differential auditing as the main explanation. First, the multilevel model estimates that only 0.058 of general anaesthesia variance lies between prefectures, where audit policy differs, so differential auditing can account for at most a small share of observed variation. University hospital presence explained 0.358 of total variance in the same model, a structural component far larger than the between-prefecture share. Second, general and spinal anaesthesia were positively correlated (r = 0.235, P &lt;0.001), as were general and epidural anaesthesia (r = 0.319, P &lt;0.001). Positive correlations are more consistent with a common supply-side factor than with audit-driven reclassification, although a uniform audit effect across all codes cannot be ruled out. Third, the maximum prefectural audit-rate difference of 0.28 percentage points could produce a ratio shift of approximately 0.28 points under the conservative, linear one-to-one mapping, equivalent to approximately 0.53% of the observed interquartile range for general anaesthesia and 0.27% for epidural anaesthesia. Fourth, combining general (L008) and spinal (L004) ratios produced an alternative measure that should be insensitive to miscoding between reclassifiable codes; it showed a coefficient of variation of 43.4% and a university hospital effect that remained large (Cohen's d 1.26), confirming that the structural effect is not artefactually erased by combining codes.</w:t>
      </w:r>
    </w:p>
    <w:p>
      <w:pPr>
        <w:spacing w:before="160" w:after="80"/>
      </w:pPr>
      <w:r>
        <w:rPr>
          <w:rFonts w:ascii="Times New Roman" w:hAnsi="Times New Roman"/>
          <w:b/>
          <w:sz w:val="24"/>
        </w:rPr>
        <w:t>3.4 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2,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4. DISCUSSION</w:t>
      </w:r>
    </w:p>
    <w:p>
      <w:pPr>
        <w:spacing w:before="160" w:after="80"/>
      </w:pPr>
      <w:r>
        <w:rPr>
          <w:rFonts w:ascii="Times New Roman" w:hAnsi="Times New Roman"/>
          <w:b/>
          <w:sz w:val="24"/>
        </w:rPr>
        <w:t>4.1 Statement of principal findings</w:t>
      </w:r>
    </w:p>
    <w:p>
      <w:r>
        <w:rPr>
          <w:rFonts w:ascii="Times New Roman" w:hAnsi="Times New Roman"/>
          <w:sz w:val="24"/>
        </w:rPr>
        <w:t>Regional variation in anaesthesia practice across Japan's 335 secondary medical areas is substantial and appears to reflect structural access factors more than prefectural auditing. University hospital presence was associated with the largest proportional reduction in total variance for general anaesthesia and a positive association in every prefecture, while the proportion of variance attributable to prefecture-level factors -- where audit intensity differs -- was small. All pre-specified sensitivity analyses pointed away from differential auditing as the main explanation. Because the outcome is a reimbursed claim ratio, the observed gradient captures service delivery rather than bedside practice directly; however, the within-prefecture structure of the data and the audit-sensitivity analyses make differential scrutiny an unlikely complete explanation. The remaining variation is therefore best interpreted as a geographic pattern in the provision of potentially beneficial anaesthesia services.</w:t>
      </w:r>
    </w:p>
    <w:p>
      <w:pPr>
        <w:spacing w:before="160" w:after="80"/>
      </w:pPr>
      <w:r>
        <w:rPr>
          <w:rFonts w:ascii="Times New Roman" w:hAnsi="Times New Roman"/>
          <w:b/>
          <w:sz w:val="24"/>
        </w:rPr>
        <w:t>4.2 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A further limitation is that the standardised claim ratios are residence-based, whereas university hospital presence is a provider-location variable. If patients cross secondary medical area boundaries for surgery, the estimated university-hospital effect is an ecological association between local supply and residents' reimbursement rather than a causal effect of living in the same area. We could not access code-specific audit rates, so the audit-sensitivity bound relies on the aggregate prefectural audit differential and the simplifying assumption of a one-to-one percentage-point mapping.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4.3 International generalizability and clinical relevance</w:t>
      </w:r>
    </w:p>
    <w:p>
      <w:r>
        <w:rPr>
          <w:rFonts w:ascii="Times New Roman" w:hAnsi="Times New Roman"/>
          <w:sz w:val="24"/>
        </w:rPr>
        <w:t>These findings are consistent with the broader literature on geographic variation in medical practice. The Dartmouth Atlas project documented extensive regional variation in surgical rates in the United States, driven primarily by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one of the first multilevel small-area analyses of anaesthesia technique under universal coverage in East Asia using publicly available, nationwide standardised claim ratios. The university hospital effect we report (Cohen's d = 1.88) is substantial, plausibly reflecting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translates into variation in potentially modifiable patient outcomes, not merely variation in billing. Because the observed gradient is not explained by differential auditing, interventions may warrant targeting workforce distribution, training and organisational capacity rather than coding compliance.</w:t>
      </w:r>
    </w:p>
    <w:p>
      <w:pPr>
        <w:spacing w:before="160" w:after="80"/>
      </w:pPr>
      <w:r>
        <w:rPr>
          <w:rFonts w:ascii="Times New Roman" w:hAnsi="Times New Roman"/>
          <w:b/>
          <w:sz w:val="24"/>
        </w:rPr>
        <w:t>4.4 Implications for perioperative practice and policy</w:t>
      </w:r>
    </w:p>
    <w:p>
      <w:r>
        <w:rPr>
          <w:rFonts w:ascii="Times New Roman" w:hAnsi="Times New Roman"/>
          <w:sz w:val="24"/>
        </w:rPr>
        <w:t>Three potential policy implications follow.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suggests a potential equity gap: patients' access to techniques that may improve recovery appears to depend on whether they live near a university hospital. Third, regulators may wish to focus on workforce and organisational determinants of anaesthesia service delivery rather than treating low regional ratios primarily as coding or fraud problems.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5. CONCLUSIONS</w:t>
      </w:r>
    </w:p>
    <w:p>
      <w:r>
        <w:rPr>
          <w:rFonts w:ascii="Times New Roman" w:hAnsi="Times New Roman"/>
          <w:sz w:val="24"/>
        </w:rPr>
        <w:t>Regional variation in anaesthesia practice under universal coverage in Japan is substantial and appears to reflect structural access factors -- notably proximity to university hospitals -- more than prefectural claims auditing. The pattern is best interpreted as a documented-service-delivery gradient with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would benefit from separating administrative from structural sources before interpreting claims data as care variation or as coding quality.</w:t>
      </w:r>
    </w:p>
    <w:p>
      <w:pPr>
        <w:spacing w:before="240" w:after="120"/>
      </w:pPr>
      <w:r>
        <w:rPr>
          <w:rFonts w:ascii="Times New Roman" w:hAnsi="Times New Roman"/>
          <w:b/>
          <w:sz w:val="26"/>
        </w:rPr>
        <w:t>6. RESEARCH IN CONTEXT</w:t>
      </w:r>
    </w:p>
    <w:p>
      <w:pPr>
        <w:pStyle w:val="ListBullet"/>
      </w:pPr>
      <w:r>
        <w:rPr>
          <w:rFonts w:ascii="Times New Roman" w:hAnsi="Times New Roman"/>
          <w:sz w:val="24"/>
        </w:rPr>
        <w:t>What is already known: Geographic variation in anaesthesia technique is well documented, but few studies have separated structural access to care from administrative coding and auditing effects in universal-coverage systems.</w:t>
      </w:r>
    </w:p>
    <w:p>
      <w:pPr>
        <w:pStyle w:val="ListBullet"/>
      </w:pPr>
      <w:r>
        <w:rPr>
          <w:rFonts w:ascii="Times New Roman" w:hAnsi="Times New Roman"/>
          <w:sz w:val="24"/>
        </w:rPr>
        <w:t>What this study adds: Across Japan's 335 secondary medical areas, university-hospital proximity was associated with large differences in standardised claim ratios, whereas prefectural claims-audit differences explained only a small share of variance.</w:t>
      </w:r>
    </w:p>
    <w:p>
      <w:pPr>
        <w:pStyle w:val="ListBullet"/>
      </w:pPr>
      <w:r>
        <w:rPr>
          <w:rFonts w:ascii="Times New Roman" w:hAnsi="Times New Roman"/>
          <w:sz w:val="24"/>
        </w:rPr>
        <w:t>What are the implications of these findings: Administrative claims can be used as a surveillance signal for perioperative variation in universal coverage settings, but low regional ratios should prompt review of workforce and organisational access before being treated as coding or fraud problems.</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sectPr w:rsidR="00FC693F" w:rsidRPr="0006063C" w:rsidSect="00034616">
      <w:footerReference w:type="default" r:id="rId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