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essentially unchanged after adjusting for driving activity (RR 1.162). The excess was larger for open-air users (motorcyclists 2.141, pedestrians 1.213) than vehicle occupants (1.050). Net heat-attributable deaths were 513 per year (1.33%), similar to 527 officially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