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an exploratory Japan comparison</w:t>
      </w:r>
    </w:p>
    <w:p>
      <w:pPr>
        <w:jc w:val="center"/>
      </w:pPr>
      <w:r>
        <w:t>[PLACEHOLDER author list — Given-name Family-name, degrees; ... — replace before submission]</w:t>
      </w:r>
    </w:p>
    <w:p>
      <w:pPr>
        <w:jc w:val="center"/>
      </w:pPr>
      <w:r>
        <w:t>[PLACEHOLDER affiliations, numbered to authors]</w:t>
      </w:r>
    </w:p>
    <w:p>
      <w:pPr>
        <w:jc w:val="center"/>
      </w:pPr>
      <w:r>
        <w:t>Correspondence to: [PLACEHOLDER corresponding author, address, email, ORCID]</w:t>
      </w:r>
    </w:p>
    <w:p>
      <w:pPr>
        <w:pStyle w:val="Heading1"/>
      </w:pPr>
      <w:r>
        <w:t>Abstract</w:t>
      </w:r>
    </w:p>
    <w:p>
      <w:pPr>
        <w:spacing w:after="120" w:line="480" w:lineRule="auto"/>
      </w:pPr>
      <w:r>
        <w:t>Ambient heat is an established risk factor for mortality, and heat waves are increasing. Because driving continues in heat, some fatal crashes may involve heat-related impairment or undiagnosed heat illness that goes unrecorded. We estimated the population-level traffic-crash mortality burden of these under-recognised effects in the USA and Japan. We fitted quasi-Poisson distributed-lag models of the local seasonal temperature anomaly to state-day (USA) and prefecture-day (Japan) panels, adjusting for spatial, seasonal, trend and day-of-week terms. Data were FARS (2016-2022), Japanese NPA accident open data (2019-2024) and GHCN-Daily temperature. In the USA (270,497 crash deaths), a +9°C anomaly was associated with higher same-day crash mortality, RR 1.165 (95% CI 1.134-1.196), essentially unchanged after adjusting for driving activity (RR 1.162). The excess was larger for open-air users (motorcyclists 2.141, pedestrians 1.213) than vehicle occupants (1.050). Net heat-attributable deaths were 513 per year (1.33%), similar to 527 officially recorded direct-heat deaths (ICD-10 X30); +1 to +3°C warming projected 339-983 additional deaths per year. An exploratory Japan comparison (11,576 deaths) found the data too sparse for a precise estimate. Unusually hot days are associated with an acute excess of US traffic-crash deaths comparable to all recorded direct-heat mortality, concentrated in heat-exposed road users and projected to grow with warming. This is consistent with an under-recognised heat contribution, but the study cannot establish heat illness in any individual crash and the open-air gradient may partly reflect weather-related activity. The findings suggest heat-aware road safety and climate adaptation planning could address an uncounted burden.</w:t>
      </w:r>
    </w:p>
    <w:p>
      <w:pPr>
        <w:spacing w:after="120" w:line="480" w:lineRule="auto"/>
      </w:pPr>
      <w:r/>
      <w:r>
        <w:rPr>
          <w:b/>
        </w:rPr>
        <w:t xml:space="preserve">Keywords: </w:t>
      </w:r>
      <w:r>
        <w:t>heat; traffic crash; mortality; climate change; distributed-lag model; road safety</w:t>
      </w:r>
    </w:p>
    <w:p>
      <w:pPr>
        <w:pStyle w:val="Heading1"/>
      </w:pPr>
      <w:r>
        <w:t>1. Introduction</w:t>
      </w:r>
    </w:p>
    <w:p>
      <w:pPr>
        <w:spacing w:after="120" w:line="480" w:lineRule="auto"/>
      </w:pPr>
      <w:r>
        <w:t>Heat waves are becoming more frequent under climate change, and ambient heat is an established driver of mortality</w:t>
      </w:r>
      <w:r>
        <w:rPr/>
        <w:t xml:space="preserve"> [1,2].</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2. Methods</w:t>
      </w:r>
    </w:p>
    <w:p>
      <w:pPr>
        <w:spacing w:after="40" w:line="480" w:lineRule="auto"/>
      </w:pPr>
      <w:r>
        <w:t>We built daily panels of traffic-crash deaths by US state (FARS, 2016-2022)</w:t>
      </w:r>
      <w:r>
        <w:rPr/>
        <w:t xml:space="preserve"> [3]</w:t>
      </w:r>
      <w:r>
        <w:t xml:space="preserve"> and by Japanese prefecture (NPA accident open data, 2019-2024)</w:t>
      </w:r>
      <w:r>
        <w:rPr/>
        <w:t xml:space="preserve"> [4].</w:t>
      </w:r>
      <w:r>
        <w:t xml:space="preserve"> Daily mean temperature was taken from GHCN-Daily stations</w:t>
      </w:r>
      <w:r>
        <w:rPr/>
        <w:t xml:space="preserve"> [5]</w:t>
      </w:r>
      <w:r>
        <w:t xml:space="preserve"> as the mean of TMAX and TMIN, aggregated to each spatial unit from its nearest reporting stations.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t xml:space="preserve"> [6]</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Overdispersion was handled with a quasi-Poisson dispersion parameter. Net heat-attributable deaths were computed by the method of Gasparrini and Leone</w:t>
      </w:r>
      <w:r>
        <w:rPr/>
        <w:t xml:space="preserve"> [7]</w:t>
      </w:r>
      <w:r>
        <w:t xml:space="preserve"> with Monte Carlo (MC) confidence intervals (CIs). As a sensitivity analysis for the US we added national vehicle-miles travelled (VMT)</w:t>
      </w:r>
      <w:r>
        <w:rPr/>
        <w:t xml:space="preserve"> [8]</w:t>
      </w:r>
      <w:r>
        <w:t xml:space="preserve"> and finished-motor-gasoline product supplied</w:t>
      </w:r>
      <w:r>
        <w:rPr/>
        <w:t xml:space="preserve"> [9]</w:t>
      </w:r>
      <w:r>
        <w:t xml:space="preserve"> as activity proxies. Officially recorded direct-heat deaths (International Classification of Diseases, 10th revision [ICD-10] code X30) were obtained from CDC WONDER</w:t>
      </w:r>
      <w:r>
        <w:rPr/>
        <w:t xml:space="preserve"> [10].</w:t>
      </w:r>
      <w:r>
        <w:t xml:space="preserve"> In three further US analyses we (i) refitted the same-day model within crash-hour bands to test whether the excess concentrates in the hottest hours; (ii) refitted it by road-user type (vehicle occupant, motorcyclist, pedestrian, cyclist) and age band from FARS person records, as a mechanistic and vulnerability analysis; and (iii) projected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pStyle w:val="Heading1"/>
      </w:pPr>
      <w:r>
        <w:t>3. 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0.934 (0.902-0.967), consistent with short-term mortality displacement (harvesting) rather than pure addition of deaths (Fig. 3; Table 2). The same-day association was essentially unchanged after adjusting for national vehicle-miles travelled and gasoline supplied (RR 1.162, 95% CI 1.132-1.193), suggesting that day-to-day driving volume alone does not explain the effect.</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mortality displacement.</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(1.016-1.085), but larger for open-air users—motorcyclists, RR 2.141 (2.000-2.292); pedestrians, RR 1.213 (1.145-1.286); and cyclists, RR 1.237 (1.032-1.484)—a gradient consistent with direct bodily heat exposure and physical exertion</w:t>
      </w:r>
      <w:r>
        <w:rPr/>
        <w:t xml:space="preserve"> [11],</w:t>
      </w:r>
      <w:r>
        <w:t xml:space="preserve"> though it could also partly reflect greater discretionary open-air travel (motorcycling, cycling, walking) on hotter-than-normal days, which our aggregate activity proxies do not capture by mode. Across age bands the excess was of similar size: age &lt;25 y RR 1.123 (1.059-1.191); 25-64 y RR 1.177 (1.140-1.216); 65+ y RR 1.167 (1.104-1.234) (Table 3), giving no clear age gradient. Second, the excess was largest for crashes in the hottest part of the day (12-17 h), RR 1.212 (1.155-1.272), and weakest in the cool morning (06-11 h), RR 1.062 (1.000-1.127); the overnight band was also elevated (00-05 h), RR 1.179 (1.110-1.253), so the diurnal pattern is not a clean daytime-only gradient (Fig. 5). These road-user, age and time-of-day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w:t>
      </w:r>
    </w:p>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(1.016-1.085)</w:t>
            </w:r>
          </w:p>
        </w:tc>
      </w:tr>
      <w:tr>
        <w:tc>
          <w:tcPr>
            <w:tcW w:type="dxa" w:w="2880"/>
          </w:tcPr>
          <w:p>
            <w:r>
              <w:t>Motorcyclist</w:t>
            </w:r>
          </w:p>
        </w:tc>
        <w:tc>
          <w:tcPr>
            <w:tcW w:type="dxa" w:w="2880"/>
          </w:tcPr>
          <w:p>
            <w:r>
              <w:t>38,248</w:t>
            </w:r>
          </w:p>
        </w:tc>
        <w:tc>
          <w:tcPr>
            <w:tcW w:type="dxa" w:w="2880"/>
          </w:tcPr>
          <w:p>
            <w:r>
              <w:t>2.141 (2.000-2.292)</w:t>
            </w:r>
          </w:p>
        </w:tc>
      </w:tr>
      <w:tr>
        <w:tc>
          <w:tcPr>
            <w:tcW w:type="dxa" w:w="2880"/>
          </w:tcPr>
          <w:p>
            <w:r>
              <w:t>Pedestrian</w:t>
            </w:r>
          </w:p>
        </w:tc>
        <w:tc>
          <w:tcPr>
            <w:tcW w:type="dxa" w:w="2880"/>
          </w:tcPr>
          <w:p>
            <w:r>
              <w:t>46,022</w:t>
            </w:r>
          </w:p>
        </w:tc>
        <w:tc>
          <w:tcPr>
            <w:tcW w:type="dxa" w:w="2880"/>
          </w:tcPr>
          <w:p>
            <w:r>
              <w:t>1.213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(1.140-1.216)</w:t>
            </w:r>
          </w:p>
        </w:tc>
      </w:tr>
      <w:tr>
        <w:tc>
          <w:tcPr>
            <w:tcW w:type="dxa" w:w="2880"/>
          </w:tcPr>
          <w:p>
            <w:r>
              <w:t>Age 65+ y</w:t>
            </w:r>
          </w:p>
        </w:tc>
        <w:tc>
          <w:tcPr>
            <w:tcW w:type="dxa" w:w="2880"/>
          </w:tcPr>
          <w:p>
            <w:r>
              <w:t>49,680</w:t>
            </w:r>
          </w:p>
        </w:tc>
        <w:tc>
          <w:tcPr>
            <w:tcW w:type="dxa" w:w="2880"/>
          </w:tcPr>
          <w:p>
            <w:r>
              <w:t>1.167 (1.104-1.234)</w:t>
            </w:r>
          </w:p>
        </w:tc>
      </w:tr>
    </w:tbl>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all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w:t>
      </w:r>
    </w:p>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Pr>
        <w:spacing w:after="120" w:line="480" w:lineRule="auto"/>
      </w:pPr>
      <w:r>
        <w:t>To gauge the trajectory under continued warming, we applied the estimated anomaly exposure-response to uniformly warmer daily temperatures, holding driving activity and baseline rates constant</w:t>
      </w:r>
      <w:r>
        <w:rPr/>
        <w:t xml:space="preserve"> [12].</w:t>
      </w:r>
      <w:r>
        <w:t xml:space="preserve"> A uniform +1 °C shift projected 339 additional US crash deaths per year (95% CI 250-428), rising to 983 (644-1356)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661 (459-864)</w:t>
            </w:r>
          </w:p>
        </w:tc>
      </w:tr>
      <w:tr>
        <w:tc>
          <w:tcPr>
            <w:tcW w:type="dxa" w:w="4320"/>
          </w:tcPr>
          <w:p>
            <w:r>
              <w:t>+3°C</w:t>
            </w:r>
          </w:p>
        </w:tc>
        <w:tc>
          <w:tcPr>
            <w:tcW w:type="dxa" w:w="4320"/>
          </w:tcPr>
          <w:p>
            <w:r>
              <w:t>983 (644-1356)</w:t>
            </w:r>
          </w:p>
        </w:tc>
      </w:tr>
    </w:tbl>
    <w:p/>
    <w:p>
      <w:pPr>
        <w:pStyle w:val="Heading2"/>
      </w:pPr>
      <w:r>
        <w:t>Exploratory Japan comparison</w:t>
      </w:r>
    </w:p>
    <w:p>
      <w:pPr>
        <w:spacing w:after="120" w:line="480" w:lineRule="auto"/>
      </w:pPr>
      <w:r>
        <w:t>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9" name="Picture 9"/>
            <wp:cNvGraphicFramePr>
              <a:graphicFrameLocks noChangeAspect="1"/>
            </wp:cNvGraphicFramePr>
            <a:graphic>
              <a:graphicData uri="http://schemas.openxmlformats.org/drawingml/2006/picture">
                <pic:pic>
                  <pic:nvPicPr>
                    <pic:cNvPr id="0" name="jp_fig2_anomaly_exposure_response.png"/>
                    <pic:cNvPicPr/>
                  </pic:nvPicPr>
                  <pic:blipFill>
                    <a:blip r:embed="rId17"/>
                    <a:stretch>
                      <a:fillRect/>
                    </a:stretch>
                  </pic:blipFill>
                  <pic:spPr>
                    <a:xfrm>
                      <a:off x="0" y="0"/>
                      <a:ext cx="5120640" cy="3660652"/>
                    </a:xfrm>
                    <a:prstGeom prst="rect"/>
                  </pic:spPr>
                </pic:pic>
              </a:graphicData>
            </a:graphic>
          </wp:inline>
        </w:drawing>
      </w:r>
    </w:p>
    <w:p>
      <w:pPr>
        <w:spacing w:before="280"/>
      </w:pPr>
      <w:r>
        <w:rPr>
          <w:b/>
        </w:rPr>
        <w:t xml:space="preserve">Figure 9. </w:t>
      </w:r>
      <w:r>
        <w:t>Japan temperature-anomaly exposure-response (2019-2024). The estimate is imprecise: the confidence band is wide and includes the null throughout.</w:t>
      </w:r>
    </w:p>
    <w:p/>
    <w:p/>
    <w:p>
      <w:pPr>
        <w:jc w:val="center"/>
      </w:pPr>
      <w:r>
        <w:drawing>
          <wp:inline xmlns:a="http://schemas.openxmlformats.org/drawingml/2006/main" xmlns:pic="http://schemas.openxmlformats.org/drawingml/2006/picture">
            <wp:extent cx="5120640" cy="3761953"/>
            <wp:docPr id="10" name="Picture 10"/>
            <wp:cNvGraphicFramePr>
              <a:graphicFrameLocks noChangeAspect="1"/>
            </wp:cNvGraphicFramePr>
            <a:graphic>
              <a:graphicData uri="http://schemas.openxmlformats.org/drawingml/2006/picture">
                <pic:pic>
                  <pic:nvPicPr>
                    <pic:cNvPr id="0" name="cross_fig_us_vs_japan_sameday.png"/>
                    <pic:cNvPicPr/>
                  </pic:nvPicPr>
                  <pic:blipFill>
                    <a:blip r:embed="rId18"/>
                    <a:stretch>
                      <a:fillRect/>
                    </a:stretch>
                  </pic:blipFill>
                  <pic:spPr>
                    <a:xfrm>
                      <a:off x="0" y="0"/>
                      <a:ext cx="5120640" cy="3761953"/>
                    </a:xfrm>
                    <a:prstGeom prst="rect"/>
                  </pic:spPr>
                </pic:pic>
              </a:graphicData>
            </a:graphic>
          </wp:inline>
        </w:drawing>
      </w:r>
    </w:p>
    <w:p>
      <w:pPr>
        <w:spacing w:before="280"/>
      </w:pPr>
      <w:r>
        <w:rPr>
          <w:b/>
        </w:rPr>
        <w:t xml:space="preserve">Figure 10. </w:t>
      </w:r>
      <w:r>
        <w:t>Same-day rate ratio of traffic-crash deaths for a +9 °C anomaly, United States versus Japan. The US shows a precise acute effect; the Japanese estimate is underpowered.</w:t>
      </w:r>
    </w:p>
    <w:p/>
    <w:p>
      <w:pPr>
        <w:pStyle w:val="Heading1"/>
      </w:pPr>
      <w:r>
        <w:t>4. 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the 1-3 day deficit indicates that part of the excess reflects short-term mortality displacement. These findings are consistent with heat-related impairment or under-recognised heat illness contributing to road deaths without appearing in cause-of-death data.</w:t>
      </w:r>
    </w:p>
    <w:p>
      <w:pPr>
        <w:spacing w:after="120" w:line="480" w:lineRule="auto"/>
      </w:pPr>
      <w:r>
        <w:t>Two features of the data are consistent with a direct heat effect rather than confounding by overall driving volume. The excess was graded by bodily heat exposure—minimal for enclosed, frequently air-conditioned vehicle occupants but several-fold larger for motorcyclists, pedestrians and cyclists, who are directly exposed and often physically exerting—and it was largest in the hottest hours of the day. Both are as expected when heat degrades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FARS and NPA carry no post-mortem heat diagnosis. Second, activity adjustment used national, not daily state-level, proxies. Third, exposure is measured at the spatial-unit level and misclassifies individual exposure. Fourth, the Japanese analysis is underpowered and inconclusive; its shorter series, far smaller death counts and sparser GHCN-Daily coverage preclude a firm estimate, and we therefore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Finally, inference rests on a quasi-Poisson dispersion adjustment; residual serial correlation could still understate uncertainty. These findings should motivate, but cannot replace, individual-level studies linking crash decedents to ambient heat and, where available, post-mortem findings.</w:t>
      </w:r>
    </w:p>
    <w:p>
      <w:pPr>
        <w:pStyle w:val="Heading1"/>
      </w:pPr>
      <w:r>
        <w:t>5. Conclusion</w:t>
      </w:r>
    </w:p>
    <w:p>
      <w:pPr>
        <w:spacing w:after="120" w:line="480" w:lineRule="auto"/>
      </w:pPr>
      <w:r>
        <w:t>Unusually hot days are associated with an acute, same-day excess of US traffic-crash mortality comparable to all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[PLACEHOLDER — replace before submission.] All authors contributed to the study design, data analysis, interpretation and drafting, and approved the final manuscript. [Specify each author's contribution and who verified the underlying data.]</w:t>
      </w:r>
    </w:p>
    <w:p>
      <w:pPr>
        <w:pStyle w:val="Heading1"/>
      </w:pPr>
      <w:r>
        <w:t>Declaration of competing interests</w:t>
      </w:r>
    </w:p>
    <w:p>
      <w:pPr>
        <w:spacing w:after="120" w:line="480" w:lineRule="auto"/>
      </w:pPr>
      <w:r>
        <w:t>[PLACEHOLDER — replace before submission.] We declare no competing interests.</w:t>
      </w:r>
    </w:p>
    <w:p>
      <w:pPr>
        <w:pStyle w:val="Heading1"/>
      </w:pPr>
      <w:r>
        <w:t>Funding</w:t>
      </w:r>
    </w:p>
    <w:p>
      <w:pPr>
        <w:spacing w:after="120" w:line="480" w:lineRule="auto"/>
      </w:pPr>
      <w:r>
        <w:t>[PLACEHOLDER — replace before submission.] 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[PLACEHOLDER — confirm and adapt before submission.] Generative AI assistance was used to help develop analysis code and draft text; all methods, results and interpretations were verified by the authors, who take full responsibility for the content.</w:t>
      </w:r>
    </w:p>
    <w:p>
      <w:pPr>
        <w:pStyle w:val="Heading1"/>
      </w:pPr>
      <w:r>
        <w:t>Data availability</w:t>
      </w:r>
    </w:p>
    <w:p>
      <w:pPr>
        <w:spacing w:after="120" w:line="480" w:lineRule="auto"/>
      </w:pPr>
      <w:r>
        <w:t>All data are public: FARS, GHCN-Daily, CDC WONDER, FHWA/FRED, EIA and the Japanese NPA accident open data (see References for sources). The complete analysis code and reproducible pipeline (make all for data and figures, then make aap for the manuscript and submission package) are openly available in the project repository;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National Highway Traffic Safety Administration. Fatality Analysis Reporting System (FARS). US Department of Transportation. https://www.nhtsa.gov/research-data/fatality-analysis-reporting-system-fars</w:t>
      </w:r>
    </w:p>
    <w:p>
      <w:pPr>
        <w:spacing w:after="80"/>
      </w:pPr>
      <w:r>
        <w:t>4. National Police Agency of Japan. Traffic accident statistics open data. https://www.npa.go.jp/publications/statistics/koutsuu/opendata/</w:t>
      </w:r>
    </w:p>
    <w:p>
      <w:pPr>
        <w:spacing w:after="80"/>
      </w:pPr>
      <w:r>
        <w:t>5. Menne MJ, Durre I, Vose RS, Gleason BE, Houston TG. An overview of the Global Historical Climatology Network-Daily database. J Atmos Ocean Technol 2012;29:897-910.</w:t>
      </w:r>
    </w:p>
    <w:p>
      <w:pPr>
        <w:spacing w:after="80"/>
      </w:pPr>
      <w:r>
        <w:t>6. Gasparrini A, Armstrong B, Kenward MG. Distributed lag non-linear models. Stat Med 2010;29:2224-34.</w:t>
      </w:r>
    </w:p>
    <w:p>
      <w:pPr>
        <w:spacing w:after="80"/>
      </w:pPr>
      <w:r>
        <w:t>7. Gasparrini A, Leone M. Attributable risk from distributed lag models. BMC Med Res Methodol 2014;14:55.</w:t>
      </w:r>
    </w:p>
    <w:p>
      <w:pPr>
        <w:spacing w:after="80"/>
      </w:pPr>
      <w:r>
        <w:t>8. Federal Highway Administration. Traffic Volume Trends. https://www.fhwa.dot.gov/policyinformation/travel_monitoring/tvt.cfm</w:t>
      </w:r>
    </w:p>
    <w:p>
      <w:pPr>
        <w:spacing w:after="80"/>
      </w:pPr>
      <w:r>
        <w:t>9. US Energy Information Administration. Weekly finished motor gasoline product supplied (PET.WGFUPUS2.W). https://www.eia.gov/</w:t>
      </w:r>
    </w:p>
    <w:p>
      <w:pPr>
        <w:spacing w:after="80"/>
      </w:pPr>
      <w:r>
        <w:t>10. Centers for Disease Control and Prevention. CDC WONDER Underlying Cause of Death database. https://wonder.cdc.gov/</w:t>
      </w:r>
    </w:p>
    <w:p>
      <w:pPr>
        <w:spacing w:after="80"/>
      </w:pPr>
      <w:r>
        <w:t>11. Daanen HAM, van de Vliert E, Huang X. Driving performance in cold, warm, and thermoneutral environments. Appl Ergon 2003;34:597-602.</w:t>
      </w:r>
    </w:p>
    <w:p>
      <w:pPr>
        <w:spacing w:after="80"/>
      </w:pPr>
      <w:r>
        <w:t>12. IPCC. Climate Change 2021: The Physical Science Basis. Contribution of Working Group I to the Sixth Assessment Report of the Intergovernmental Panel on Climate Change. Cambridge: Cambridge University Press;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