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STROBE Statement—Checklist of items that should be included in reports of cross-sectional studies</w:t>
      </w:r>
    </w:p>
    <w:p>
      <w:pPr>
        <w:jc w:val="center"/>
      </w:pPr>
      <w:r>
        <w:rPr>
          <w:i/>
          <w:sz w:val="20"/>
        </w:rPr>
        <w:t>Impact of the EU desflurane regulation on secondary market prices of anaesthetic vaporisers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D9E2F3" w:val="clear"/>
          </w:tcPr>
          <w:p>
            <w:pPr>
              <w:jc w:val="center"/>
            </w:pPr>
            <w:r>
              <w:rPr>
                <w:b/>
                <w:sz w:val="16"/>
              </w:rPr>
              <w:t>Section/Topic</w:t>
            </w:r>
          </w:p>
        </w:tc>
        <w:tc>
          <w:tcPr>
            <w:tcW w:type="dxa" w:w="3784"/>
            <w:shd w:fill="D9E2F3" w:val="clear"/>
          </w:tcPr>
          <w:p>
            <w:pPr>
              <w:jc w:val="center"/>
            </w:pPr>
            <w:r>
              <w:rPr>
                <w:b/>
                <w:sz w:val="16"/>
              </w:rPr>
              <w:t>Item No.</w:t>
            </w:r>
          </w:p>
        </w:tc>
        <w:tc>
          <w:tcPr>
            <w:tcW w:type="dxa" w:w="3784"/>
            <w:shd w:fill="D9E2F3" w:val="clear"/>
          </w:tcPr>
          <w:p>
            <w:pPr>
              <w:jc w:val="center"/>
            </w:pPr>
            <w:r>
              <w:rPr>
                <w:b/>
                <w:sz w:val="16"/>
              </w:rPr>
              <w:t>Recommendation</w:t>
            </w:r>
          </w:p>
        </w:tc>
        <w:tc>
          <w:tcPr>
            <w:tcW w:type="dxa" w:w="3784"/>
            <w:shd w:fill="D9E2F3" w:val="clear"/>
          </w:tcPr>
          <w:p>
            <w:pPr>
              <w:jc w:val="center"/>
            </w:pPr>
            <w:r>
              <w:rPr>
                <w:b/>
                <w:sz w:val="16"/>
              </w:rPr>
              <w:t>Reported on page/section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Title and abstract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(a) Indicate the study’s design with a commonly used term in the title or abstract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Title: “cross-sectional time-series analysis”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(b) Provide in the abstract an informative and balanced summary of what was done and found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Abstract: structured abstract with BACKGROUND, OBJECTIVE, DESIGN, SETTING, MAIN OUTCOME MEASURES, RESULTS, CONCLUSION</w:t>
            </w:r>
          </w:p>
        </w:tc>
      </w:tr>
      <w:tr>
        <w:tc>
          <w:tcPr>
            <w:tcW w:type="dxa" w:w="3784"/>
            <w:shd w:fill="E8F0FE" w:val="clear"/>
          </w:tcPr>
          <w:p>
            <w:r>
              <w:rPr>
                <w:b/>
                <w:sz w:val="16"/>
              </w:rPr>
              <w:t>Introduction</w:t>
            </w:r>
          </w:p>
        </w:tc>
        <w:tc>
          <w:tcPr>
            <w:tcW w:type="dxa" w:w="3784"/>
            <w:shd w:fill="E8F0FE" w:val="clear"/>
          </w:tcPr>
          <w:p/>
        </w:tc>
        <w:tc>
          <w:tcPr>
            <w:tcW w:type="dxa" w:w="3784"/>
            <w:shd w:fill="E8F0FE" w:val="clear"/>
          </w:tcPr>
          <w:p/>
        </w:tc>
        <w:tc>
          <w:tcPr>
            <w:tcW w:type="dxa" w:w="3784"/>
            <w:shd w:fill="E8F0FE" w:val="clear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Background/rationale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Explain the scientific background and rationale for the investigation being reported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Introduction, paragraphs 1–4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Objectives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State specific objectives, including any prespecified hypotheses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Introduction, final paragraph: hypothesis that desflurane prices would decline while sevoflurane/isoflurane remain stable</w:t>
            </w:r>
          </w:p>
        </w:tc>
      </w:tr>
      <w:tr>
        <w:tc>
          <w:tcPr>
            <w:tcW w:type="dxa" w:w="3784"/>
            <w:shd w:fill="E8F0FE" w:val="clear"/>
          </w:tcPr>
          <w:p>
            <w:r>
              <w:rPr>
                <w:b/>
                <w:sz w:val="16"/>
              </w:rPr>
              <w:t>Methods</w:t>
            </w:r>
          </w:p>
        </w:tc>
        <w:tc>
          <w:tcPr>
            <w:tcW w:type="dxa" w:w="3784"/>
            <w:shd w:fill="E8F0FE" w:val="clear"/>
          </w:tcPr>
          <w:p/>
        </w:tc>
        <w:tc>
          <w:tcPr>
            <w:tcW w:type="dxa" w:w="3784"/>
            <w:shd w:fill="E8F0FE" w:val="clear"/>
          </w:tcPr>
          <w:p/>
        </w:tc>
        <w:tc>
          <w:tcPr>
            <w:tcW w:type="dxa" w:w="3784"/>
            <w:shd w:fill="E8F0FE" w:val="clear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Study design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Present key elements of study design early in the paper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Methods, “Study design and data source”: cross-sectional time-series analysis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Setting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Describe the setting, locations, and relevant dates, including periods of recruitment, exposure, follow-up, and data collection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Methods: eBay/Terapeak, data collected March 2026, covering 28 March 2023–24 March 2026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Participants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Give the eligibility criteria, and the sources and methods of selection of participants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Methods, “Eligibility criteria”: inclusion/exclusion criteria detailed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Variables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Clearly define all outcomes, exposures, predictors, potential confounders, and effect modifiers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Methods, “Variables”: primary outcome (sale price), exposure (regulatory period), agent type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Data sources/measurement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For each variable of interest, give sources of data and details of methods of assessment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Methods: Terapeak product research tool; automated data retrieval with manual screening against eligibility criteria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Bias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Describe any efforts to address potential sources of bias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Methods/Discussion: single marketplace to avoid cross-listing duplicates; natural comparator groups (sevoflurane, isoflurane)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Study size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Explain how the study size was arrived at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Methods, “Statistical analysis”: all available transactions within Terapeak window; no a priori sample size calculation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Quantitative variables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Explain how quantitative variables were handled in the analyses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Methods: prices in USD; regulatory period classified by milestones; trend analyses used continuous (days) and ordinal (phase 1–5) variables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Statistical methods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(a) Describe all statistical methods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Methods, “Statistical analysis”: Mann–Whitney U, Welch’s t-test, Spearman ρ, Kendall τ, Kruskal–Wallis, Cohen’s d, LOWESS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(b) Describe any methods used to examine subgroups and interactions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Analyses performed separately for each agent type; supplementary asking-price analysis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(c) Explain how missing data were addressed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Methods, “Eligibility criteria”: listings with missing price data excluded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(d) If applicable, describe analytical methods taking account of sampling strategy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Not applicable (complete enumeration of available sales)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(e) Describe any sensitivity analyses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Welch’s t-test as sensitivity analysis; quarterly aggregation for trend robustness</w:t>
            </w:r>
          </w:p>
        </w:tc>
      </w:tr>
      <w:tr>
        <w:tc>
          <w:tcPr>
            <w:tcW w:type="dxa" w:w="3784"/>
            <w:shd w:fill="E8F0FE" w:val="clear"/>
          </w:tcPr>
          <w:p>
            <w:r>
              <w:rPr>
                <w:b/>
                <w:sz w:val="16"/>
              </w:rPr>
              <w:t>Results</w:t>
            </w:r>
          </w:p>
        </w:tc>
        <w:tc>
          <w:tcPr>
            <w:tcW w:type="dxa" w:w="3784"/>
            <w:shd w:fill="E8F0FE" w:val="clear"/>
          </w:tcPr>
          <w:p/>
        </w:tc>
        <w:tc>
          <w:tcPr>
            <w:tcW w:type="dxa" w:w="3784"/>
            <w:shd w:fill="E8F0FE" w:val="clear"/>
          </w:tcPr>
          <w:p/>
        </w:tc>
        <w:tc>
          <w:tcPr>
            <w:tcW w:type="dxa" w:w="3784"/>
            <w:shd w:fill="E8F0FE" w:val="clear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Participants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(a) Report numbers of individuals at each stage of study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Results, paragraph 1: 1,033 total sales after exclusion criteria applied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(b) Give reasons for non-participation at each stage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Methods, “Eligibility criteria”: exclusion criteria listed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(c) Consider use of a flow diagram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Not applicable (marketplace data, not participant recruitment)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Descriptive data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(a) Give characteristics of study participants and information on exposures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Results, Table 1: n, mean, SD, median, IQR, range by agent and period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(b) Indicate number of participants with missing data for each variable of interest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No missing data after eligibility screening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Outcome data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Report numbers of outcome events or summary measures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Results, Tables 1–2: all summary statistics and trend results by agent type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Main results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(a) Give unadjusted estimates and, if applicable, confounder-adjusted estimates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Results: Spearman ρ, Kendall τ, Mann–Whitney U P values, Cohen’s d reported for each agent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(b) Report category boundaries when continuous variables were categorized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Methods, “Variables”: regulatory period cutpoints defined (April 2022, October 2023, February 2024, January 2026)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(c) If relevant, consider translating estimates into meaningful clinical measures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Results: percentage price decline (31%) and dollar values reported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Other analyses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Report other analyses done—e.g. subgroup, interaction, or sensitivity analyses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Results: supplementary asking-price cross-sectional analysis; quarterly trend analysis</w:t>
            </w:r>
          </w:p>
        </w:tc>
      </w:tr>
      <w:tr>
        <w:tc>
          <w:tcPr>
            <w:tcW w:type="dxa" w:w="3784"/>
            <w:shd w:fill="E8F0FE" w:val="clear"/>
          </w:tcPr>
          <w:p>
            <w:r>
              <w:rPr>
                <w:b/>
                <w:sz w:val="16"/>
              </w:rPr>
              <w:t>Discussion</w:t>
            </w:r>
          </w:p>
        </w:tc>
        <w:tc>
          <w:tcPr>
            <w:tcW w:type="dxa" w:w="3784"/>
            <w:shd w:fill="E8F0FE" w:val="clear"/>
          </w:tcPr>
          <w:p/>
        </w:tc>
        <w:tc>
          <w:tcPr>
            <w:tcW w:type="dxa" w:w="3784"/>
            <w:shd w:fill="E8F0FE" w:val="clear"/>
          </w:tcPr>
          <w:p/>
        </w:tc>
        <w:tc>
          <w:tcPr>
            <w:tcW w:type="dxa" w:w="3784"/>
            <w:shd w:fill="E8F0FE" w:val="clear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Key results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Summarise key results with reference to study objectives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Discussion, paragraph 1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Limitations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Discuss limitations, potential bias, imprecision, and multiplicity of analyses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Discussion, “Limitations” paragraph: single marketplace, no condition data, small post-ban n, global marketplace, no pre-proposal baseline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Interpretation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Give a cautious overall interpretation considering objectives, limitations, multiplicity of analyses, similar studies, and other relevant evidence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Discussion, paragraphs 2–4: comparison with literature, regulatory obsolescence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Generalisability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Discuss the generalisability (external validity) of the study results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Discussion, final paragraphs: implications for facilities in other jurisdictions</w:t>
            </w:r>
          </w:p>
        </w:tc>
      </w:tr>
      <w:tr>
        <w:tc>
          <w:tcPr>
            <w:tcW w:type="dxa" w:w="3784"/>
            <w:shd w:fill="E8F0FE" w:val="clear"/>
          </w:tcPr>
          <w:p>
            <w:r>
              <w:rPr>
                <w:b/>
                <w:sz w:val="16"/>
              </w:rPr>
              <w:t>Other information</w:t>
            </w:r>
          </w:p>
        </w:tc>
        <w:tc>
          <w:tcPr>
            <w:tcW w:type="dxa" w:w="3784"/>
            <w:shd w:fill="E8F0FE" w:val="clear"/>
          </w:tcPr>
          <w:p/>
        </w:tc>
        <w:tc>
          <w:tcPr>
            <w:tcW w:type="dxa" w:w="3784"/>
            <w:shd w:fill="E8F0FE" w:val="clear"/>
          </w:tcPr>
          <w:p/>
        </w:tc>
        <w:tc>
          <w:tcPr>
            <w:tcW w:type="dxa" w:w="3784"/>
            <w:shd w:fill="E8F0FE" w:val="clear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Funding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Give the source of funding and the role of the funders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Acknowledgements: no external funding</w:t>
            </w:r>
          </w:p>
        </w:tc>
      </w:tr>
    </w:tbl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