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Geographic distance decay in population-level Neanderthal and Denisovan segment profiles</w:t>
      </w:r>
    </w:p>
    <w:p>
      <w:pPr>
        <w:jc w:val="center"/>
      </w:pPr>
      <w:r>
        <w:rPr>
          <w:b/>
        </w:rPr>
        <w:t>Research Article</w:t>
      </w:r>
    </w:p>
    <w:p>
      <w:pPr>
        <w:jc w:val="center"/>
      </w:pPr>
      <w:r>
        <w:rPr>
          <w:b/>
        </w:rPr>
        <w:t>Onishi Tatsuki</w:t>
      </w:r>
    </w:p>
    <w:p>
      <w:pPr>
        <w:jc w:val="center"/>
      </w:pPr>
      <w:r>
        <w:t>Data Science and AI Innovation Research Promotion Center</w:t>
      </w:r>
    </w:p>
    <w:p>
      <w:pPr>
        <w:jc w:val="center"/>
      </w:pPr>
      <w:r>
        <w:t>Onishi Tatsuki, Data Science and AI Innovation Research Promotion Center; Email: bougtoir@gmail.com</w:t>
      </w:r>
    </w:p>
    <w:p>
      <w:pPr>
        <w:jc w:val="center"/>
      </w:pPr>
      <w:r>
        <w:t>Running title: Geography of archaic segment profiles</w:t>
      </w:r>
    </w:p>
    <w:p>
      <w:pPr>
        <w:pStyle w:val="Heading1"/>
      </w:pPr>
      <w:r>
        <w:t>Abstract</w:t>
      </w:r>
    </w:p>
    <w:p>
      <w:pPr>
        <w:spacing w:line="360" w:lineRule="auto"/>
      </w:pPr>
      <w:r>
        <w:t>Objectives: Archaic-like segments around the ABO blood-group locus have been proposed as clues to blood-group history and human dispersal, but their interpretation lacks a genome-wide geographic baseline. We tested whether population-level genomic profiles of inferred Neanderthal- and Denisovan-like segments become less similar with geographic distance. Materials and Methods: High-confidence hmmix calls from 3,134 individuals in 66 populations were summarized in 500-kb windows. Each individual-haplotype-window contributed at most one presence, constraining population frequencies to 0-1. Pearson similarity was calculated for 2,145 population pairs. Distance associations were evaluated with population-label quadratic assignment permutations, population-deletion analyses, and sensitivities to window size, similarity metric, sample-size threshold, dataset, zero-distance pairs, and regional omission. Results: Similarity declined with distance for Neanderthal (raw r=-0.497) and Denisovan (raw r=-0.462) profiles. Expanded descriptive models that also included designated recent-admixture involvement, same-continent status, and same-dataset status had partial distance correlations of -0.369 and -0.326; population-label permutation P values for distance were 0.0001 and 0.0002. No positive-residual non-admixed pair met both z&gt;2 and false-discovery-rate q&lt;0.10. Conclusions: Archaic-segment profile similarity contains a broad geographic distance-decay signal, but the analysis does not identify exceptional population connections or demonstrate specific migration routes. A secondary ABO-window analysis remains hypothesis-generating.</w:t>
      </w:r>
    </w:p>
    <w:p>
      <w:r>
        <w:rPr>
          <w:b/>
        </w:rPr>
        <w:t xml:space="preserve">Keywords: </w:t>
      </w:r>
      <w:r>
        <w:t>archaic introgression; Neanderthal; Denisovan; population genetics; geographic distance; quadratic assignment procedure; ABO</w:t>
      </w:r>
    </w:p>
    <w:p>
      <w:r>
        <w:br w:type="page"/>
      </w:r>
    </w:p>
    <w:p>
      <w:pPr>
        <w:pStyle w:val="Heading1"/>
      </w:pPr>
      <w:r>
        <w:t>Introduction</w:t>
      </w:r>
    </w:p>
    <w:p>
      <w:pPr>
        <w:ind w:firstLine="432"/>
      </w:pPr>
      <w:r>
        <w:rPr>
          <w:rFonts w:ascii="Times New Roman" w:hAnsi="Times New Roman"/>
          <w:i w:val="0"/>
          <w:sz w:val="24"/>
        </w:rPr>
        <w:t>Genomic comparisons established gene flow from Neanderthals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Most summaries emphasize the proportion of archaic ancestry within a population. A complementary question is whether two populations carry inferred archaic segments in similar genomic locations.</w:t>
      </w:r>
    </w:p>
    <w:p>
      <w:pPr>
        <w:ind w:firstLine="432"/>
      </w:pPr>
      <w:r>
        <w:rPr>
          <w:rFonts w:ascii="Times New Roman" w:hAnsi="Times New Roman"/>
          <w:i w:val="0"/>
          <w:sz w:val="24"/>
        </w:rPr>
        <w:t>Geographic gradients in archaic ancestry may reflect range expansions and serial demographic processes rather than a single migration event (Quilodran et al. 2023). Pairwise profile similarity offers a direct descriptive measure of shared genomic distribution, but it creates dyadic data: every population appears in many pair rows. Standard row-wise regression tests, bootstraps, or response shuffles therefore do not preserve the population-level dependence structure. Quadratic assignment procedures address this problem by permuting population labels on a complete matrix (Krackhardt 1988; Dekker, Krackhardt, and Snijders 2007).</w:t>
      </w:r>
    </w:p>
    <w:p>
      <w:pPr>
        <w:ind w:firstLine="432"/>
      </w:pPr>
      <w:r>
        <w:rPr>
          <w:rFonts w:ascii="Times New Roman" w:hAnsi="Times New Roman"/>
          <w:i w:val="0"/>
          <w:sz w:val="24"/>
        </w:rPr>
        <w:t>The primary objective was to test whether Neanderthal- and Denisovan-segment profile similarity declines with great-circle distance across 66 populations from the 1000 Genomes Project and Human Genome Diversity Project. We also tested robustness to alternative genomic windows, similarity metrics, sample-size thresholds, datasets, co-located pairs, and regional omission. A secondary analysis of the ABO-centered interval was retained because ABO has an unusually deep allelic history and has motivated founder-effect and archaic-background hypotheses (Calafell et al. 2008; Halverson and Bolnick 2008; Segurel et al. 2012; Condemi et al. 2021). This focal analysis was prespecified as exploratory and was not used to infer a migration route.</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analyzed publicly archived hmmix segment calls from 1000 Genomes and HGDP samples in Zenodo record 14136628. Hmmix detects candidate archaic sequence without requiring an unadmixed modern outgroup (Skov et al. 2018). Source population definitions followed the 1000 Genomes and HGDP resources (1000 Genomes Project Consortium 2015; Bergström et al. 2020).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distance per 1,000 km, involvement of one of four designated recently admixed American populations (PUR, CLM, MXL, or PEL), same-continent status, and same-dataset status. These indicators are coarse sensitivity covariates, not individual ancestry estimates or causal controls. Distance-only models were also fit.</w:t>
      </w:r>
    </w:p>
    <w:p>
      <w:pPr>
        <w:ind w:firstLine="432"/>
      </w:pPr>
      <w:r>
        <w:rPr>
          <w:rFonts w:ascii="Times New Roman" w:hAnsi="Times New Roman"/>
          <w:i w:val="0"/>
          <w:sz w:val="24"/>
        </w:rPr>
        <w:t>Coefficient P values used 9,999 quadratic assignment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modeled using distance, same-continent status, and same-dataset status. Positive residuals were standardized by the residual standard deviation. For every pair, a one-sided nominal P value was calculated from its own residual null distribution across 9,999 population-label permutations. The Benjamini-Hochberg procedure was applied jointly to all non-admixed pairs within each ancestry analysis (Benjamini and Hochberg 1995). A supported positive outlier required z&gt;2 and q&lt;0.10.</w:t>
      </w:r>
    </w:p>
    <w:p>
      <w:pPr>
        <w:pStyle w:val="Heading2"/>
      </w:pPr>
      <w:r>
        <w:t>Robustness analyses</w:t>
      </w:r>
    </w:p>
    <w:p>
      <w:pPr>
        <w:ind w:firstLine="432"/>
      </w:pPr>
      <w:r>
        <w:rPr>
          <w:rFonts w:ascii="Times New Roman" w:hAnsi="Times New Roman"/>
          <w:i w:val="0"/>
          <w:sz w:val="24"/>
        </w:rPr>
        <w:t>We repeated distance-only population-label tests for 250-kb, 500-kb, and 1-Mb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GRCh38 as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O2-defining rs41302905 T allele was summarized from Ensembl/1000 Genomes frequencies and published Solomon Islands frequencies (Ohashi et al. 2006). Ancient-window observations were descriptively extracted from public outputs associated with Iasi et al. (2024); ancient and modern calls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CARE principles (Claw et al. 2018; Carroll et al. 2020). Population labels were retained only when needed for transparent source-data description; locus-level observations were not generalized to communities, and migration routes were not assigned from these data. The public article, code, and derived aggregate results are the current means of results availability. These disclosures follow the expanded AJBA guidance on ethical review and stakeholder communication (Turner 2025).</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 Table 1).</w:t>
      </w:r>
    </w:p>
    <w:p>
      <w:pPr>
        <w:pStyle w:val="Heading2"/>
      </w:pPr>
      <w:r>
        <w:t>Population structure and robustness</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 Negative distance correlations were examined across admixture exclusions, within-dataset subsets, minimum sample sizes, and regional omissions (Figure 3). Window-size results at 250 kb, 500 kb, and 1 Mb are shown in Figure S2. These analyses were treated as robustness checks rather than independent confirmatory tests.</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w:t>
      </w:r>
    </w:p>
    <w:p>
      <w:pPr>
        <w:pStyle w:val="Heading2"/>
      </w:pPr>
      <w:r>
        <w:t>Secondary ABO-window observations</w:t>
      </w:r>
    </w:p>
    <w:p>
      <w:pPr>
        <w:ind w:firstLine="432"/>
      </w:pPr>
      <w:r>
        <w:rPr>
          <w:rFonts w:ascii="Times New Roman" w:hAnsi="Times New Roman"/>
          <w:i w:val="0"/>
          <w:sz w:val="24"/>
        </w:rPr>
        <w:t>The 500-kb ABO-centered scan identified 834 Neanderthal or Both source segments, of which 129 overlapped the ABO gene. Of the 834 interval segments, 335 had tied maximum reference similarity and were not forced to a lineage. In the Indigenous American HGDP subset, one Pima segment overlapped ABO and one Maya segment lay downstream within the wider interval. Both were Vindija-closest, but two segments among 41 represented individuals do not support a regional proportion or migration-route inference (Figure 4; Table 2). O2 frequencies, an Ancient North Eurasian context diagram, and the non-comparable ancient-window extraction are provided only as Figure S3, Figure S4, and Figure S5.</w:t>
      </w:r>
    </w:p>
    <w:p>
      <w:pPr>
        <w:pStyle w:val="Heading1"/>
      </w:pPr>
      <w:r>
        <w:t>Discussion</w:t>
      </w:r>
    </w:p>
    <w:p>
      <w:pPr>
        <w:ind w:firstLine="432"/>
      </w:pPr>
      <w:r>
        <w:rPr>
          <w:rFonts w:ascii="Times New Roman" w:hAnsi="Times New Roman"/>
          <w:i w:val="0"/>
          <w:sz w:val="24"/>
        </w:rPr>
        <w:t>After correction of the population-frequency construction, both Neanderthal and Denisovan profile similarities retained negative geographic associations. The result is therefore not an artifact of allowing fragmented segments to contribute repeatedly to the same haplotype-window. The revised estimates should replace all values from the earlier prototype analysis.</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Nevertheless, an inferred segment in a 500-kb interval is not an ABO allele, closest-reference similarity is not a transmission path, and the O2-defining variant cannot be labeled Neanderthal-derived from proximity alone. The Pima and Maya observations are individual segment records, not population prevalence estimates.</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In conclusion, population-level archaic-segment profiles show a broad geographic distance-decay pattern under dependence-aware permutation tests. The result supports a descriptive relationship between geography and the genomic distribution of inferred archaic segments. It does not establish an exceptional population pair, an ABO-mediated migration history, or a specific route through Beringia or island Southeast Asia.</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Data Availability</w:t>
      </w:r>
    </w:p>
    <w:p>
      <w:r>
        <w:t>Analysis scripts, aggregate derived data, figures, and document-generation code are available at https://github.com/bougtoir/denisovan-archaic-dna-analysis and will be fixed as release ajba-critical-revision-2026-07 before submission. The source hmmix segment calls are available from Zenodo record 14136628 (https://doi.org/10.5281/zenodo.14136628). Raw-file SHA-256 checksums and all analysis parameters are included in analysis_provenance.json.</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generalized to communities, and are not used to assign migration routes. The public article, code, and aggregate derived results are the current means of results availability.</w:t>
      </w:r>
    </w:p>
    <w:p>
      <w:pPr>
        <w:pStyle w:val="Heading1"/>
      </w:pPr>
      <w:r>
        <w:t>Author Contributions</w:t>
      </w:r>
    </w:p>
    <w:p>
      <w:r>
        <w:t>Onishi Tatsuki: Conceptualization, methodology, formal analysis, visualization, writing—original draft, and writing—review and editing.</w:t>
      </w:r>
    </w:p>
    <w:p>
      <w:pPr>
        <w:pStyle w:val="Heading1"/>
      </w:pPr>
      <w:r>
        <w:t>Literature Cited</w:t>
      </w:r>
    </w:p>
    <w:p>
      <w:pPr>
        <w:spacing w:line="276" w:lineRule="auto" w:after="80"/>
        <w:ind w:hanging="360" w:left="360"/>
      </w:pPr>
      <w:r>
        <w:rPr>
          <w:sz w:val="20"/>
        </w:rPr>
        <w:t>1000 Genomes Project Consortium. 2015. “A Global Reference for Human Genetic Variation.” Nature 526 (7571): 68–74. https://doi.org/10.1038/nature15393.</w:t>
      </w:r>
    </w:p>
    <w:p>
      <w:pPr>
        <w:spacing w:line="276" w:lineRule="auto" w:after="80"/>
        <w:ind w:hanging="360" w:left="360"/>
      </w:pPr>
      <w:r>
        <w:rPr>
          <w:sz w:val="20"/>
        </w:rPr>
        <w:t>Benjamini, Yoav, and Yosef Hochberg. 1995. “Controlling the False Discovery Rate: A Practical and Powerful Approach to Multiple Testing.” Journal of the Royal Statistical Society: Series B 57 (1): 289–300. https://doi.org/10.1111/j.2517-6161.1995.tb02031.x.</w:t>
      </w:r>
    </w:p>
    <w:p>
      <w:pPr>
        <w:spacing w:line="276" w:lineRule="auto" w:after="80"/>
        <w:ind w:hanging="360" w:left="360"/>
      </w:pPr>
      <w:r>
        <w:rPr>
          <w:sz w:val="20"/>
        </w:rPr>
        <w:t>Bergström, Anders, Shane A. McCarthy, Ruoyun Hui, et al. 2020. “Insights into Human Genetic Variation and Population History from 929 Diverse Genomes.” Science 367 (6484): eaay5012. https://doi.org/10.1126/science.aay5012.</w:t>
      </w:r>
    </w:p>
    <w:p>
      <w:pPr>
        <w:spacing w:line="276" w:lineRule="auto" w:after="80"/>
        <w:ind w:hanging="360" w:left="360"/>
      </w:pPr>
      <w:r>
        <w:rPr>
          <w:sz w:val="20"/>
        </w:rPr>
        <w:t>Calafell, Francesc, Françoise Roubinet, Antonio Ramirez-Soriano, et al. 2008. “Evolutionary Dynamics of the Human ABO Gene.” Human Genetics 124 (2): 123–35. https://doi.org/10.1007/s00439-008-0530-8.</w:t>
      </w:r>
    </w:p>
    <w:p>
      <w:pPr>
        <w:spacing w:line="276" w:lineRule="auto" w:after="80"/>
        <w:ind w:hanging="360" w:left="360"/>
      </w:pPr>
      <w:r>
        <w:rPr>
          <w:sz w:val="20"/>
        </w:rPr>
        <w:t>Carroll, Stephanie Russo, Ibrahim Garba, Oscar L. Figueroa-Rodríguez, et al. 2020. “The CARE Principles for Indigenous Data Governance.” Data Science Journal 19: 43. https://doi.org/10.5334/dsj-2020-043.</w:t>
      </w:r>
    </w:p>
    <w:p>
      <w:pPr>
        <w:spacing w:line="276" w:lineRule="auto" w:after="80"/>
        <w:ind w:hanging="360" w:left="360"/>
      </w:pPr>
      <w:r>
        <w:rPr>
          <w:sz w:val="20"/>
        </w:rPr>
        <w:t>Claw, Katrina G., Dorothy Lippert, Jessica Bardill, et al. 2018. “A Framework for Enhancing Ethical Genomic Research with Indigenous Communities.” Nature Communications 9: 2957. https://doi.org/10.1038/s41467-018-05188-3.</w:t>
      </w:r>
    </w:p>
    <w:p>
      <w:pPr>
        <w:spacing w:line="276" w:lineRule="auto" w:after="80"/>
        <w:ind w:hanging="360" w:left="360"/>
      </w:pPr>
      <w:r>
        <w:rPr>
          <w:sz w:val="20"/>
        </w:rPr>
        <w:t>Condemi, Silvana, Amandine Mazières, Pascal Faux, et al. 2021. “Blood Groups of Neandertals and Denisova Decrypted.” PLOS ONE 16 (7): e0254175. https://doi.org/10.1371/journal.pone.0254175.</w:t>
      </w:r>
    </w:p>
    <w:p>
      <w:pPr>
        <w:spacing w:line="276" w:lineRule="auto" w:after="80"/>
        <w:ind w:hanging="360" w:left="360"/>
      </w:pPr>
      <w:r>
        <w:rPr>
          <w:sz w:val="20"/>
        </w:rPr>
        <w:t>Dekker, David, David Krackhardt, and Tom A. B. Snijders. 2007. “Sensitivity of MRQAP Tests to Collinearity and Autocorrelation Conditions.” Psychometrika 72: 563–81. https://doi.org/10.1007/s11336-007-9016-1.</w:t>
      </w:r>
    </w:p>
    <w:p>
      <w:pPr>
        <w:spacing w:line="276" w:lineRule="auto" w:after="80"/>
        <w:ind w:hanging="360" w:left="360"/>
      </w:pPr>
      <w:r>
        <w:rPr>
          <w:sz w:val="20"/>
        </w:rPr>
        <w:t>Green, Richard E., Johannes Krause, Adrian W. Briggs, et al. 2010. “A Draft Sequence of the Neandertal Genome.” Science 328 (5979): 710–22. https://doi.org/10.1126/science.1188021.</w:t>
      </w:r>
    </w:p>
    <w:p>
      <w:pPr>
        <w:spacing w:line="276" w:lineRule="auto" w:after="80"/>
        <w:ind w:hanging="360" w:left="360"/>
      </w:pPr>
      <w:r>
        <w:rPr>
          <w:sz w:val="20"/>
        </w:rPr>
        <w:t>Halverson, Melissa S., and Deborah A. Bolnick. 2008. “An Ancient DNA Test of a Founder Effect in Native American ABO Blood Group Frequencies.” American Journal of Physical Anthropology 137 (3): 342–47. https://doi.org/10.1002/ajpa.20887.</w:t>
      </w:r>
    </w:p>
    <w:p>
      <w:pPr>
        <w:spacing w:line="276" w:lineRule="auto" w:after="80"/>
        <w:ind w:hanging="360" w:left="360"/>
      </w:pPr>
      <w:r>
        <w:rPr>
          <w:sz w:val="20"/>
        </w:rPr>
        <w:t>Iasi, Leonardo N. M., Manjusha Chintalapati, Laurits Skov, et al. 2024. “Neanderthal Ancestry through Time: Insights from Genomes of Ancient and Present-Day Humans.” Science 386 (6727): eadq3010. https://doi.org/10.1126/science.adq3010.</w:t>
      </w:r>
    </w:p>
    <w:p>
      <w:pPr>
        <w:spacing w:line="276" w:lineRule="auto" w:after="80"/>
        <w:ind w:hanging="360" w:left="360"/>
      </w:pPr>
      <w:r>
        <w:rPr>
          <w:sz w:val="20"/>
        </w:rPr>
        <w:t>Jacobs, Guy S., Georgi Hudjashov, Lauri Saag, et al. 2019. “Multiple Deeply Divergent Denisovan Ancestries in Papuans.” Cell 177 (4): 1010–21.e32. https://doi.org/10.1016/j.cell.2019.02.035.</w:t>
      </w:r>
    </w:p>
    <w:p>
      <w:pPr>
        <w:spacing w:line="276" w:lineRule="auto" w:after="80"/>
        <w:ind w:hanging="360" w:left="360"/>
      </w:pPr>
      <w:r>
        <w:rPr>
          <w:sz w:val="20"/>
        </w:rPr>
        <w:t>Krackhardt, David. 1988. “Predicting with Networks: Nonparametric Multiple Regression Analysis of Dyadic Data.” Social Networks 10 (4): 359–81. https://doi.org/10.1016/0378-8733(88)90004-4.</w:t>
      </w:r>
    </w:p>
    <w:p>
      <w:pPr>
        <w:spacing w:line="276" w:lineRule="auto" w:after="80"/>
        <w:ind w:hanging="360" w:left="360"/>
      </w:pPr>
      <w:r>
        <w:rPr>
          <w:sz w:val="20"/>
        </w:rPr>
        <w:t>Ohashi, Jun, Izumi Naka, Ryosuke Kimura, et al. 2006. “Polymorphisms in the ABO Blood Group Gene in Three Populations in the New Georgia Group of the Solomon Islands.” Journal of Human Genetics 51 (5): 407–11. https://doi.org/10.1007/s10038-006-0375-8.</w:t>
      </w:r>
    </w:p>
    <w:p>
      <w:pPr>
        <w:spacing w:line="276" w:lineRule="auto" w:after="80"/>
        <w:ind w:hanging="360" w:left="360"/>
      </w:pPr>
      <w:r>
        <w:rPr>
          <w:sz w:val="20"/>
        </w:rPr>
        <w:t>Petr, Martin, Svante Pääbo, Janet Kelso, and Benjamin Vernot. 2019. “Limits of Long-Term Selection against Neandertal Introgression.” Proceedings of the National Academy of Sciences 116 (5): 1639–44. https://doi.org/10.1073/pnas.1814338116.</w:t>
      </w:r>
    </w:p>
    <w:p>
      <w:pPr>
        <w:spacing w:line="276" w:lineRule="auto" w:after="80"/>
        <w:ind w:hanging="360" w:left="360"/>
      </w:pPr>
      <w:r>
        <w:rPr>
          <w:sz w:val="20"/>
        </w:rPr>
        <w:t>Prüfer, Kay, Cesare de Filippo, Steffi Grote, et al. 2017. “A High-Coverage Neandertal Genome from Vindija Cave in Croatia.” Science 358 (6363): 655–58. https://doi.org/10.1126/science.aao1887.</w:t>
      </w:r>
    </w:p>
    <w:p>
      <w:pPr>
        <w:spacing w:line="276" w:lineRule="auto" w:after="80"/>
        <w:ind w:hanging="360" w:left="360"/>
      </w:pPr>
      <w:r>
        <w:rPr>
          <w:sz w:val="20"/>
        </w:rPr>
        <w:t>Quilodran, Claudio S., Julie Rio, Athanasios Tsoupas, and Mathias Currat. 2023. “Past Human Expansions Shaped the Spatial Pattern of Neanderthal Ancestry.” Science Advances 9 (42): eadg9817. https://doi.org/10.1126/sciadv.adg9817.</w:t>
      </w:r>
    </w:p>
    <w:p>
      <w:pPr>
        <w:spacing w:line="276" w:lineRule="auto" w:after="80"/>
        <w:ind w:hanging="360" w:left="360"/>
      </w:pPr>
      <w:r>
        <w:rPr>
          <w:sz w:val="20"/>
        </w:rPr>
        <w:t>Raghavan, Maanasa, Pontus Skoglund, Kelly E. Graf, et al. 2014. “Upper Palaeolithic Siberian Genome Reveals Dual Ancestry of Native Americans.” Nature 505 (7481): 87–91. https://doi.org/10.1038/nature12736.</w:t>
      </w:r>
    </w:p>
    <w:p>
      <w:pPr>
        <w:spacing w:line="276" w:lineRule="auto" w:after="80"/>
        <w:ind w:hanging="360" w:left="360"/>
      </w:pPr>
      <w:r>
        <w:rPr>
          <w:sz w:val="20"/>
        </w:rPr>
        <w:t>Reich, David, Richard E. Green, Martin Kircher, et al. 2010. “Genetic History of an Archaic Hominin Group from Denisova Cave in Siberia.” Nature 468 (7327): 1053–60. https://doi.org/10.1038/nature09710.</w:t>
      </w:r>
    </w:p>
    <w:p>
      <w:pPr>
        <w:spacing w:line="276" w:lineRule="auto" w:after="80"/>
        <w:ind w:hanging="360" w:left="360"/>
      </w:pPr>
      <w:r>
        <w:rPr>
          <w:sz w:val="20"/>
        </w:rPr>
        <w:t>Sankararaman, Sriram, Swapan Mallick, Michael Dannemann, et al. 2014. “The Genomic Landscape of Neanderthal Ancestry in Present-Day Humans.” Nature 507 (7492): 354–57. https://doi.org/10.1038/nature12961.</w:t>
      </w:r>
    </w:p>
    <w:p>
      <w:pPr>
        <w:spacing w:line="276" w:lineRule="auto" w:after="80"/>
        <w:ind w:hanging="360" w:left="360"/>
      </w:pPr>
      <w:r>
        <w:rPr>
          <w:sz w:val="20"/>
        </w:rPr>
        <w:t>Sankararaman, Sriram, Swapan Mallick, Nick Patterson, and David Reich. 2016. “The Combined Landscape of Denisovan and Neanderthal Ancestry in Present-Day Humans.” Current Biology 26 (9): 1241–47. https://doi.org/10.1016/j.cub.2016.03.037.</w:t>
      </w:r>
    </w:p>
    <w:p>
      <w:pPr>
        <w:spacing w:line="276" w:lineRule="auto" w:after="80"/>
        <w:ind w:hanging="360" w:left="360"/>
      </w:pPr>
      <w:r>
        <w:rPr>
          <w:sz w:val="20"/>
        </w:rPr>
        <w:t>Segurel, Laure, Emma E. Thompson, Timothée Flutre, et al. 2012. “The ABO Blood Group Is a Trans-Species Polymorphism in Primates.” Proceedings of the National Academy of Sciences 109 (45): 18493–98. https://doi.org/10.1073/pnas.1210603109.</w:t>
      </w:r>
    </w:p>
    <w:p>
      <w:pPr>
        <w:spacing w:line="276" w:lineRule="auto" w:after="80"/>
        <w:ind w:hanging="360" w:left="360"/>
      </w:pPr>
      <w:r>
        <w:rPr>
          <w:sz w:val="20"/>
        </w:rPr>
        <w:t>Skoglund, Pontus, Swapan Mallick, Maria Cátira Bortolini, et al. 2015. “Genetic Evidence for Two Founding Populations of the Americas.” Nature 525 (7567): 104–8. https://doi.org/10.1038/nature14895.</w:t>
      </w:r>
    </w:p>
    <w:p>
      <w:pPr>
        <w:spacing w:line="276" w:lineRule="auto" w:after="80"/>
        <w:ind w:hanging="360" w:left="360"/>
      </w:pPr>
      <w:r>
        <w:rPr>
          <w:sz w:val="20"/>
        </w:rPr>
        <w:t>Skov, Laurits, Ruoyun Hui, Vladimir Shchur, et al. 2018. “Detecting Archaic Introgression Using an Unadmixed Outgroup.” PLOS Genetics 14 (9): e1007641. https://doi.org/10.1371/journal.pgen.1007641.</w:t>
      </w:r>
    </w:p>
    <w:p>
      <w:pPr>
        <w:spacing w:line="276" w:lineRule="auto" w:after="80"/>
        <w:ind w:hanging="360" w:left="360"/>
      </w:pPr>
      <w:r>
        <w:rPr>
          <w:sz w:val="20"/>
        </w:rPr>
        <w:t>Turner, Trudy R. 2025. “Changes to Submissions to the AJBA.” American Journal of Biological Anthropology 186: e70026. https://doi.org/10.1002/ajpa.70026.</w:t>
      </w:r>
    </w:p>
    <w:p>
      <w:pPr>
        <w:pStyle w:val="Heading1"/>
      </w:pPr>
      <w:r>
        <w:t>Figure Legends</w:t>
      </w:r>
    </w:p>
    <w:p>
      <w:pPr>
        <w:spacing w:line="360" w:lineRule="auto" w:after="160"/>
      </w:pPr>
      <w:r>
        <w:rPr>
          <w:b/>
        </w:rPr>
        <w:t xml:space="preserve">Figure 1. </w:t>
      </w:r>
      <w:r>
        <w:t>Archaic-segment profile similarity and geographic distance. Each point is a dependent population pair. Lines are descriptive distance-only fits; reported P values use population-label quadratic assignment permutations.</w:t>
      </w:r>
    </w:p>
    <w:p>
      <w:pPr>
        <w:spacing w:line="360" w:lineRule="auto" w:after="160"/>
      </w:pPr>
      <w:r>
        <w:rPr>
          <w:b/>
        </w:rPr>
        <w:t xml:space="preserve">Figure 2. </w:t>
      </w:r>
      <w:r>
        <w:t>Pairwise archaic-segment profile similarity for 31 prespecified populations. The subset is displayed for legibility; all 66 populations were analyzed.</w:t>
      </w:r>
    </w:p>
    <w:p>
      <w:pPr>
        <w:spacing w:line="360" w:lineRule="auto" w:after="160"/>
      </w:pPr>
      <w:r>
        <w:rPr>
          <w:b/>
        </w:rPr>
        <w:t xml:space="preserve">Figure 3. </w:t>
      </w:r>
      <w:r>
        <w:t>Descriptive distance correlations across population, sample-size, dataset, zero-distance, and leave-one-continent-out sensitivities.</w:t>
      </w:r>
    </w:p>
    <w:p>
      <w:pPr>
        <w:spacing w:line="360" w:lineRule="auto" w:after="160"/>
      </w:pPr>
      <w:r>
        <w:rPr>
          <w:b/>
        </w:rPr>
        <w:t xml:space="preserve">Figure 4. </w:t>
      </w:r>
      <w:r>
        <w:t>Secondary ABO-centered analysis. Closest-reference counts retain tied maxima. The Pima segment overlaps ABO; the Maya segment is within the wider interval but does not overlap the gene. Counts are segments, not regional frequencies.</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Descriptive geographic distance correlations at 250-kb, 500-kb, and 1-Mb window sizes; QAP results are tabulated in Supplementary Data.</w:t>
      </w:r>
    </w:p>
    <w:p>
      <w:pPr>
        <w:spacing w:line="360" w:lineRule="auto" w:after="160"/>
      </w:pPr>
      <w:r>
        <w:rPr>
          <w:b/>
        </w:rPr>
        <w:t xml:space="preserve">Figure S3. </w:t>
      </w:r>
      <w:r>
        <w:t>O2-defining allele frequencies and ABO-window segment-carrier frequencies. The panels use different sources and are not an association analysis.</w:t>
      </w:r>
    </w:p>
    <w:p>
      <w:pPr>
        <w:spacing w:line="360" w:lineRule="auto" w:after="160"/>
      </w:pPr>
      <w:r>
        <w:rPr>
          <w:b/>
        </w:rPr>
        <w:t xml:space="preserve">Figure S4. </w:t>
      </w:r>
      <w:r>
        <w:t>Ancient North Eurasian contextual hypothesis. Dashed arrows represent a testable narrative, not evidence that either observed segment followed the illustrated route.</w:t>
      </w:r>
    </w:p>
    <w:p>
      <w:pPr>
        <w:spacing w:line="360" w:lineRule="auto" w:after="160"/>
      </w:pPr>
      <w:r>
        <w:rPr>
          <w:b/>
        </w:rPr>
        <w:t xml:space="preserve">Figure S5. </w:t>
      </w:r>
      <w:r>
        <w:t>Descriptive ancient and modern ABO-window summaries generated by different pipelines; no formal temporal comparison is made.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distance decay in population-level Neanderthal and Denisovan segment profiles</dc:title>
  <dc:subject/>
  <dc:creator>Onishi Tatsuki</dc:creator>
  <cp:keywords/>
  <dc:description>generated by python-docx</dc:description>
  <cp:lastModifiedBy/>
  <cp:revision>1</cp:revision>
  <dcterms:created xsi:type="dcterms:W3CDTF">2013-12-23T23:15:00Z</dcterms:created>
  <dcterms:modified xsi:type="dcterms:W3CDTF">2013-12-23T23:15:00Z</dcterms:modified>
  <cp:category/>
</cp:coreProperties>
</file>