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Archaic-like segments around the ABO blood-group locus have been proposed as clues to blood-group history and human dispersal, but their interpretation lacks a genome-wide geographic baseline. We tested whether population-level genomic profiles of inferred Neanderthal- and Denisovan-like segments become less similar with geographic distance. Materials and Methods: High-confidence hmmix calls from 3,134 individuals in 66 populations were summarized in 500-kb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We also tested robustness to alternative genomic windows, similarity metrics, sample-size thresholds, datasets, co-located pairs, and regional omission. A secondary analysis of the ABO-centered interval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hmmix segment calls from 1000 Genomes and HGDP samples in Zenodo record 14136628. Hmmix detects candidate archaic sequence without requiring an unadmixed modern outgroup (Skov et al. 2018). Source population definitions followed the 1000 Genomes and HGDP resources (1000 Genomes Project Consortium 2015; Bergström et al. 2020).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(PUR, CLM, MXL, or PEL),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GRCh38 as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AJBA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 Table 1).</w:t>
      </w:r>
    </w:p>
    <w:p>
      <w:pPr>
        <w:spacing w:before="320"/>
        <w:jc w:val="center"/>
      </w:pPr>
      <w:r>
        <w:drawing>
          <wp:inline xmlns:a="http://schemas.openxmlformats.org/drawingml/2006/main" xmlns:pic="http://schemas.openxmlformats.org/drawingml/2006/picture">
            <wp:extent cx="5806440" cy="2765816"/>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65816"/>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before="280"/>
      </w:pPr>
      <w:r>
        <w:rPr>
          <w:b/>
        </w:rPr>
        <w:t>Table 1. Dependence-aware geographic-distance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AF7"/>
          </w:tcPr>
          <w:p>
            <w:pPr>
              <w:spacing w:line="240" w:lineRule="auto"/>
            </w:pPr>
            <w:r>
              <w:rPr>
                <w:rFonts w:ascii="Arial" w:hAnsi="Arial"/>
                <w:b/>
                <w:sz w:val="17"/>
              </w:rPr>
              <w:t>Metric</w:t>
            </w:r>
          </w:p>
        </w:tc>
        <w:tc>
          <w:tcPr>
            <w:tcW w:type="dxa" w:w="2340"/>
            <w:shd w:fill="D9EAF7"/>
          </w:tcPr>
          <w:p>
            <w:pPr>
              <w:spacing w:line="240" w:lineRule="auto"/>
            </w:pPr>
            <w:r>
              <w:rPr>
                <w:rFonts w:ascii="Arial" w:hAnsi="Arial"/>
                <w:b/>
                <w:sz w:val="17"/>
              </w:rPr>
              <w:t>Neanderthal</w:t>
            </w:r>
          </w:p>
        </w:tc>
        <w:tc>
          <w:tcPr>
            <w:tcW w:type="dxa" w:w="2340"/>
            <w:shd w:fill="D9EAF7"/>
          </w:tcPr>
          <w:p>
            <w:pPr>
              <w:spacing w:line="240" w:lineRule="auto"/>
            </w:pPr>
            <w:r>
              <w:rPr>
                <w:rFonts w:ascii="Arial" w:hAnsi="Arial"/>
                <w:b/>
                <w:sz w:val="17"/>
              </w:rPr>
              <w:t>Denisovan</w:t>
            </w:r>
          </w:p>
        </w:tc>
        <w:tc>
          <w:tcPr>
            <w:tcW w:type="dxa" w:w="2340"/>
            <w:shd w:fill="D9EAF7"/>
          </w:tcPr>
          <w:p>
            <w:pPr>
              <w:spacing w:line="240" w:lineRule="auto"/>
            </w:pPr>
            <w:r>
              <w:rPr>
                <w:rFonts w:ascii="Arial" w:hAnsi="Arial"/>
                <w:b/>
                <w:sz w:val="17"/>
              </w:rPr>
              <w:t>Interpretation</w:t>
            </w:r>
          </w:p>
        </w:tc>
      </w:tr>
      <w:tr>
        <w:tc>
          <w:tcPr>
            <w:tcW w:type="dxa" w:w="2340"/>
          </w:tcPr>
          <w:p>
            <w:pPr>
              <w:spacing w:line="240" w:lineRule="auto"/>
            </w:pPr>
            <w:r>
              <w:rPr>
                <w:rFonts w:ascii="Arial" w:hAnsi="Arial"/>
                <w:b w:val="0"/>
                <w:sz w:val="17"/>
              </w:rPr>
              <w:t>Populations / unique pairs</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Same pair set</w:t>
            </w:r>
          </w:p>
        </w:tc>
      </w:tr>
      <w:tr>
        <w:tc>
          <w:tcPr>
            <w:tcW w:type="dxa" w:w="2340"/>
          </w:tcPr>
          <w:p>
            <w:pPr>
              <w:spacing w:line="240" w:lineRule="auto"/>
            </w:pPr>
            <w:r>
              <w:rPr>
                <w:rFonts w:ascii="Arial" w:hAnsi="Arial"/>
                <w:b w:val="0"/>
                <w:sz w:val="17"/>
              </w:rPr>
              <w:t>Raw sharing-distance r</w:t>
            </w:r>
          </w:p>
        </w:tc>
        <w:tc>
          <w:tcPr>
            <w:tcW w:type="dxa" w:w="2340"/>
          </w:tcPr>
          <w:p>
            <w:pPr>
              <w:spacing w:line="240" w:lineRule="auto"/>
            </w:pPr>
            <w:r>
              <w:rPr>
                <w:rFonts w:ascii="Arial" w:hAnsi="Arial"/>
                <w:b w:val="0"/>
                <w:sz w:val="17"/>
              </w:rPr>
              <w:t>-0.4971</w:t>
            </w:r>
          </w:p>
        </w:tc>
        <w:tc>
          <w:tcPr>
            <w:tcW w:type="dxa" w:w="2340"/>
          </w:tcPr>
          <w:p>
            <w:pPr>
              <w:spacing w:line="240" w:lineRule="auto"/>
            </w:pPr>
            <w:r>
              <w:rPr>
                <w:rFonts w:ascii="Arial" w:hAnsi="Arial"/>
                <w:b w:val="0"/>
                <w:sz w:val="17"/>
              </w:rPr>
              <w:t>-0.4617</w:t>
            </w:r>
          </w:p>
        </w:tc>
        <w:tc>
          <w:tcPr>
            <w:tcW w:type="dxa" w:w="2340"/>
          </w:tcPr>
          <w:p>
            <w:pPr>
              <w:spacing w:line="240" w:lineRule="auto"/>
            </w:pPr>
            <w:r>
              <w:rPr>
                <w:rFonts w:ascii="Arial" w:hAnsi="Arial"/>
                <w:b w:val="0"/>
                <w:sz w:val="17"/>
              </w:rPr>
              <w:t>Descriptive pairwise correlation</w:t>
            </w:r>
          </w:p>
        </w:tc>
      </w:tr>
      <w:tr>
        <w:tc>
          <w:tcPr>
            <w:tcW w:type="dxa" w:w="2340"/>
          </w:tcPr>
          <w:p>
            <w:pPr>
              <w:spacing w:line="240" w:lineRule="auto"/>
            </w:pPr>
            <w:r>
              <w:rPr>
                <w:rFonts w:ascii="Arial" w:hAnsi="Arial"/>
                <w:b w:val="0"/>
                <w:sz w:val="17"/>
              </w:rPr>
              <w:t>Expanded-model partial r</w:t>
            </w:r>
          </w:p>
        </w:tc>
        <w:tc>
          <w:tcPr>
            <w:tcW w:type="dxa" w:w="2340"/>
          </w:tcPr>
          <w:p>
            <w:pPr>
              <w:spacing w:line="240" w:lineRule="auto"/>
            </w:pPr>
            <w:r>
              <w:rPr>
                <w:rFonts w:ascii="Arial" w:hAnsi="Arial"/>
                <w:b w:val="0"/>
                <w:sz w:val="17"/>
              </w:rPr>
              <w:t>-0.3687</w:t>
            </w:r>
          </w:p>
        </w:tc>
        <w:tc>
          <w:tcPr>
            <w:tcW w:type="dxa" w:w="2340"/>
          </w:tcPr>
          <w:p>
            <w:pPr>
              <w:spacing w:line="240" w:lineRule="auto"/>
            </w:pPr>
            <w:r>
              <w:rPr>
                <w:rFonts w:ascii="Arial" w:hAnsi="Arial"/>
                <w:b w:val="0"/>
                <w:sz w:val="17"/>
              </w:rPr>
              <w:t>-0.3259</w:t>
            </w:r>
          </w:p>
        </w:tc>
        <w:tc>
          <w:tcPr>
            <w:tcW w:type="dxa" w:w="2340"/>
          </w:tcPr>
          <w:p>
            <w:pPr>
              <w:spacing w:line="240" w:lineRule="auto"/>
            </w:pPr>
            <w:r>
              <w:rPr>
                <w:rFonts w:ascii="Arial" w:hAnsi="Arial"/>
                <w:b w:val="0"/>
                <w:sz w:val="17"/>
              </w:rPr>
              <w:t>Distance after coarse sensitivity covariates</w:t>
            </w:r>
          </w:p>
        </w:tc>
      </w:tr>
      <w:tr>
        <w:tc>
          <w:tcPr>
            <w:tcW w:type="dxa" w:w="2340"/>
          </w:tcPr>
          <w:p>
            <w:pPr>
              <w:spacing w:line="240" w:lineRule="auto"/>
            </w:pPr>
            <w:r>
              <w:rPr>
                <w:rFonts w:ascii="Arial" w:hAnsi="Arial"/>
                <w:b w:val="0"/>
                <w:sz w:val="17"/>
              </w:rPr>
              <w:t>Distance-only R²</w:t>
            </w:r>
          </w:p>
        </w:tc>
        <w:tc>
          <w:tcPr>
            <w:tcW w:type="dxa" w:w="2340"/>
          </w:tcPr>
          <w:p>
            <w:pPr>
              <w:spacing w:line="240" w:lineRule="auto"/>
            </w:pPr>
            <w:r>
              <w:rPr>
                <w:rFonts w:ascii="Arial" w:hAnsi="Arial"/>
                <w:b w:val="0"/>
                <w:sz w:val="17"/>
              </w:rPr>
              <w:t>0.2471</w:t>
            </w:r>
          </w:p>
        </w:tc>
        <w:tc>
          <w:tcPr>
            <w:tcW w:type="dxa" w:w="2340"/>
          </w:tcPr>
          <w:p>
            <w:pPr>
              <w:spacing w:line="240" w:lineRule="auto"/>
            </w:pPr>
            <w:r>
              <w:rPr>
                <w:rFonts w:ascii="Arial" w:hAnsi="Arial"/>
                <w:b w:val="0"/>
                <w:sz w:val="17"/>
              </w:rPr>
              <w:t>0.2131</w:t>
            </w:r>
          </w:p>
        </w:tc>
        <w:tc>
          <w:tcPr>
            <w:tcW w:type="dxa" w:w="2340"/>
          </w:tcPr>
          <w:p>
            <w:pPr>
              <w:spacing w:line="240" w:lineRule="auto"/>
            </w:pPr>
            <w:r>
              <w:rPr>
                <w:rFonts w:ascii="Arial" w:hAnsi="Arial"/>
                <w:b w:val="0"/>
                <w:sz w:val="17"/>
              </w:rPr>
              <w:t>Descriptive matrix fit</w:t>
            </w:r>
          </w:p>
        </w:tc>
      </w:tr>
      <w:tr>
        <w:tc>
          <w:tcPr>
            <w:tcW w:type="dxa" w:w="2340"/>
          </w:tcPr>
          <w:p>
            <w:pPr>
              <w:spacing w:line="240" w:lineRule="auto"/>
            </w:pPr>
            <w:r>
              <w:rPr>
                <w:rFonts w:ascii="Arial" w:hAnsi="Arial"/>
                <w:b w:val="0"/>
                <w:sz w:val="17"/>
              </w:rPr>
              <w:t>Expanded descriptive R²</w:t>
            </w:r>
          </w:p>
        </w:tc>
        <w:tc>
          <w:tcPr>
            <w:tcW w:type="dxa" w:w="2340"/>
          </w:tcPr>
          <w:p>
            <w:pPr>
              <w:spacing w:line="240" w:lineRule="auto"/>
            </w:pPr>
            <w:r>
              <w:rPr>
                <w:rFonts w:ascii="Arial" w:hAnsi="Arial"/>
                <w:b w:val="0"/>
                <w:sz w:val="17"/>
              </w:rPr>
              <w:t>0.5461</w:t>
            </w:r>
          </w:p>
        </w:tc>
        <w:tc>
          <w:tcPr>
            <w:tcW w:type="dxa" w:w="2340"/>
          </w:tcPr>
          <w:p>
            <w:pPr>
              <w:spacing w:line="240" w:lineRule="auto"/>
            </w:pPr>
            <w:r>
              <w:rPr>
                <w:rFonts w:ascii="Arial" w:hAnsi="Arial"/>
                <w:b w:val="0"/>
                <w:sz w:val="17"/>
              </w:rPr>
              <w:t>0.5113</w:t>
            </w:r>
          </w:p>
        </w:tc>
        <w:tc>
          <w:tcPr>
            <w:tcW w:type="dxa" w:w="2340"/>
          </w:tcPr>
          <w:p>
            <w:pPr>
              <w:spacing w:line="240" w:lineRule="auto"/>
            </w:pPr>
            <w:r>
              <w:rPr>
                <w:rFonts w:ascii="Arial" w:hAnsi="Arial"/>
                <w:b w:val="0"/>
                <w:sz w:val="17"/>
              </w:rPr>
              <w:t>Not an independent-pair causal estimate</w:t>
            </w:r>
          </w:p>
        </w:tc>
      </w:tr>
      <w:tr>
        <w:tc>
          <w:tcPr>
            <w:tcW w:type="dxa" w:w="2340"/>
          </w:tcPr>
          <w:p>
            <w:pPr>
              <w:spacing w:line="240" w:lineRule="auto"/>
            </w:pPr>
            <w:r>
              <w:rPr>
                <w:rFonts w:ascii="Arial" w:hAnsi="Arial"/>
                <w:b w:val="0"/>
                <w:sz w:val="17"/>
              </w:rPr>
              <w:t>QAP distance coefficient / 1,000 km</w:t>
            </w:r>
          </w:p>
        </w:tc>
        <w:tc>
          <w:tcPr>
            <w:tcW w:type="dxa" w:w="2340"/>
          </w:tcPr>
          <w:p>
            <w:pPr>
              <w:spacing w:line="240" w:lineRule="auto"/>
            </w:pPr>
            <w:r>
              <w:rPr>
                <w:rFonts w:ascii="Arial" w:hAnsi="Arial"/>
                <w:b w:val="0"/>
                <w:sz w:val="17"/>
              </w:rPr>
              <w:t>-0.01892</w:t>
            </w:r>
          </w:p>
        </w:tc>
        <w:tc>
          <w:tcPr>
            <w:tcW w:type="dxa" w:w="2340"/>
          </w:tcPr>
          <w:p>
            <w:pPr>
              <w:spacing w:line="240" w:lineRule="auto"/>
            </w:pPr>
            <w:r>
              <w:rPr>
                <w:rFonts w:ascii="Arial" w:hAnsi="Arial"/>
                <w:b w:val="0"/>
                <w:sz w:val="17"/>
              </w:rPr>
              <w:t>-0.01918</w:t>
            </w:r>
          </w:p>
        </w:tc>
        <w:tc>
          <w:tcPr>
            <w:tcW w:type="dxa" w:w="2340"/>
          </w:tcPr>
          <w:p>
            <w:pPr>
              <w:spacing w:line="240" w:lineRule="auto"/>
            </w:pPr>
            <w:r>
              <w:rPr>
                <w:rFonts w:ascii="Arial" w:hAnsi="Arial"/>
                <w:b w:val="0"/>
                <w:sz w:val="17"/>
              </w:rPr>
              <w:t>Expanded model</w:t>
            </w:r>
          </w:p>
        </w:tc>
      </w:tr>
      <w:tr>
        <w:tc>
          <w:tcPr>
            <w:tcW w:type="dxa" w:w="2340"/>
          </w:tcPr>
          <w:p>
            <w:pPr>
              <w:spacing w:line="240" w:lineRule="auto"/>
            </w:pPr>
            <w:r>
              <w:rPr>
                <w:rFonts w:ascii="Arial" w:hAnsi="Arial"/>
                <w:b w:val="0"/>
                <w:sz w:val="17"/>
              </w:rPr>
              <w:t>QAP two-sided P</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0.0002</w:t>
            </w:r>
          </w:p>
        </w:tc>
        <w:tc>
          <w:tcPr>
            <w:tcW w:type="dxa" w:w="2340"/>
          </w:tcPr>
          <w:p>
            <w:pPr>
              <w:spacing w:line="240" w:lineRule="auto"/>
            </w:pPr>
            <w:r>
              <w:rPr>
                <w:rFonts w:ascii="Arial" w:hAnsi="Arial"/>
                <w:b w:val="0"/>
                <w:sz w:val="17"/>
              </w:rPr>
              <w:t>9,999 population-label permutations</w:t>
            </w:r>
          </w:p>
        </w:tc>
      </w:tr>
      <w:tr>
        <w:tc>
          <w:tcPr>
            <w:tcW w:type="dxa" w:w="2340"/>
          </w:tcPr>
          <w:p>
            <w:pPr>
              <w:spacing w:line="240" w:lineRule="auto"/>
            </w:pPr>
            <w:r>
              <w:rPr>
                <w:rFonts w:ascii="Arial" w:hAnsi="Arial"/>
                <w:b w:val="0"/>
                <w:sz w:val="17"/>
              </w:rPr>
              <w:t>Population-deletion interval</w:t>
            </w:r>
          </w:p>
        </w:tc>
        <w:tc>
          <w:tcPr>
            <w:tcW w:type="dxa" w:w="2340"/>
          </w:tcPr>
          <w:p>
            <w:pPr>
              <w:spacing w:line="240" w:lineRule="auto"/>
            </w:pPr>
            <w:r>
              <w:rPr>
                <w:rFonts w:ascii="Arial" w:hAnsi="Arial"/>
                <w:b w:val="0"/>
                <w:sz w:val="17"/>
              </w:rPr>
              <w:t>-0.02143 to -0.01770</w:t>
            </w:r>
          </w:p>
        </w:tc>
        <w:tc>
          <w:tcPr>
            <w:tcW w:type="dxa" w:w="2340"/>
          </w:tcPr>
          <w:p>
            <w:pPr>
              <w:spacing w:line="240" w:lineRule="auto"/>
            </w:pPr>
            <w:r>
              <w:rPr>
                <w:rFonts w:ascii="Arial" w:hAnsi="Arial"/>
                <w:b w:val="0"/>
                <w:sz w:val="17"/>
              </w:rPr>
              <w:t>-0.02112 to -0.01775</w:t>
            </w:r>
          </w:p>
        </w:tc>
        <w:tc>
          <w:tcPr>
            <w:tcW w:type="dxa" w:w="2340"/>
          </w:tcPr>
          <w:p>
            <w:pPr>
              <w:spacing w:line="240" w:lineRule="auto"/>
            </w:pPr>
            <w:r>
              <w:rPr>
                <w:rFonts w:ascii="Arial" w:hAnsi="Arial"/>
                <w:b w:val="0"/>
                <w:sz w:val="17"/>
              </w:rPr>
              <w:t>2.5th-97.5th percentile sensitivity interval</w:t>
            </w:r>
          </w:p>
        </w:tc>
      </w:tr>
      <w:tr>
        <w:tc>
          <w:tcPr>
            <w:tcW w:type="dxa" w:w="2340"/>
          </w:tcPr>
          <w:p>
            <w:pPr>
              <w:spacing w:line="240" w:lineRule="auto"/>
            </w:pPr>
            <w:r>
              <w:rPr>
                <w:rFonts w:ascii="Arial" w:hAnsi="Arial"/>
                <w:b w:val="0"/>
                <w:sz w:val="17"/>
              </w:rPr>
              <w:t>FDR q&lt;0.10 and positive z&gt;2 outliers</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All non-admixed pairs tested within ancestry</w:t>
            </w:r>
          </w:p>
        </w:tc>
      </w:tr>
    </w:tbl>
    <w:p>
      <w:pPr>
        <w:spacing w:line="240" w:lineRule="auto"/>
      </w:pPr>
      <w:r>
        <w:rPr>
          <w:sz w:val="18"/>
        </w:rPr>
        <w:t>Note. R-squared and correlation values are descriptive. QAP tests permute population labels on the response matrix. Population-deletion intervals are sensitivity summaries, not independent-sample confidence intervals.</w:t>
      </w:r>
    </w:p>
    <w:p>
      <w:pPr>
        <w:pStyle w:val="Heading2"/>
      </w:pPr>
      <w:r>
        <w:t>Population structure and robustness</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 Negative distance correlations were examined across admixture exclusions, within-dataset subsets, minimum sample sizes, and regional omissions (Figure 3). Window-size results at 250 kb, 500 kb, and 1 Mb are shown in Figure S2.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2967797"/>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967797"/>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spacing w:before="320"/>
        <w:jc w:val="center"/>
      </w:pPr>
      <w:r>
        <w:drawing>
          <wp:inline xmlns:a="http://schemas.openxmlformats.org/drawingml/2006/main" xmlns:pic="http://schemas.openxmlformats.org/drawingml/2006/picture">
            <wp:extent cx="5806440" cy="4035734"/>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4035734"/>
                    </a:xfrm>
                    <a:prstGeom prst="rect"/>
                  </pic:spPr>
                </pic:pic>
              </a:graphicData>
            </a:graphic>
          </wp:inline>
        </w:drawing>
      </w:r>
    </w:p>
    <w:p>
      <w:pPr>
        <w:spacing w:before="200" w:line="276" w:lineRule="auto"/>
      </w:pPr>
      <w:r>
        <w:rPr>
          <w:b/>
        </w:rPr>
        <w:t xml:space="preserve">Figure 3. </w:t>
      </w:r>
      <w:r>
        <w:t>Descriptive distance correlations across population, sample-size, dataset, zero-distance, and leave-one-continent-out sensitivities.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4; Table 2). O2 frequencies, an Ancient North Eurasian context diagram, and the non-comparable ancient-window extraction are provided only as Figure S3, Figure S4, and Figure S5.</w:t>
      </w:r>
    </w:p>
    <w:p>
      <w:pPr>
        <w:spacing w:before="320"/>
        <w:jc w:val="center"/>
      </w:pPr>
      <w:r>
        <w:drawing>
          <wp:inline xmlns:a="http://schemas.openxmlformats.org/drawingml/2006/main" xmlns:pic="http://schemas.openxmlformats.org/drawingml/2006/picture">
            <wp:extent cx="5806440" cy="2936455"/>
            <wp:docPr id="4" name="Picture 4"/>
            <wp:cNvGraphicFramePr>
              <a:graphicFrameLocks noChangeAspect="1"/>
            </wp:cNvGraphicFramePr>
            <a:graphic>
              <a:graphicData uri="http://schemas.openxmlformats.org/drawingml/2006/picture">
                <pic:pic>
                  <pic:nvPicPr>
                    <pic:cNvPr id="0" name="fig5_abo_sublineage.png"/>
                    <pic:cNvPicPr/>
                  </pic:nvPicPr>
                  <pic:blipFill>
                    <a:blip r:embed="rId12"/>
                    <a:stretch>
                      <a:fillRect/>
                    </a:stretch>
                  </pic:blipFill>
                  <pic:spPr>
                    <a:xfrm>
                      <a:off x="0" y="0"/>
                      <a:ext cx="5806440" cy="2936455"/>
                    </a:xfrm>
                    <a:prstGeom prst="rect"/>
                  </pic:spPr>
                </pic:pic>
              </a:graphicData>
            </a:graphic>
          </wp:inline>
        </w:drawing>
      </w:r>
    </w:p>
    <w:p>
      <w:pPr>
        <w:spacing w:before="200" w:line="276" w:lineRule="auto"/>
      </w:pPr>
      <w:r>
        <w:rPr>
          <w:b/>
        </w:rPr>
        <w:t xml:space="preserve">Figure 4. </w:t>
      </w:r>
      <w:r>
        <w:t>Secondary ABO-centered analysis. Closest-reference counts retain tied maxima.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Group</w:t>
            </w:r>
          </w:p>
        </w:tc>
        <w:tc>
          <w:tcPr>
            <w:tcW w:type="dxa" w:w="1337"/>
            <w:shd w:fill="D9EAF7"/>
          </w:tcPr>
          <w:p>
            <w:pPr>
              <w:spacing w:line="240" w:lineRule="auto"/>
            </w:pPr>
            <w:r>
              <w:rPr>
                <w:rFonts w:ascii="Arial" w:hAnsi="Arial"/>
                <w:b/>
                <w:sz w:val="17"/>
              </w:rPr>
              <w:t>Segments</w:t>
            </w:r>
          </w:p>
        </w:tc>
        <w:tc>
          <w:tcPr>
            <w:tcW w:type="dxa" w:w="1337"/>
            <w:shd w:fill="D9EAF7"/>
          </w:tcPr>
          <w:p>
            <w:pPr>
              <w:spacing w:line="240" w:lineRule="auto"/>
            </w:pPr>
            <w:r>
              <w:rPr>
                <w:rFonts w:ascii="Arial" w:hAnsi="Arial"/>
                <w:b/>
                <w:sz w:val="17"/>
              </w:rPr>
              <w:t>Vindija %</w:t>
            </w:r>
          </w:p>
        </w:tc>
        <w:tc>
          <w:tcPr>
            <w:tcW w:type="dxa" w:w="1337"/>
            <w:shd w:fill="D9EAF7"/>
          </w:tcPr>
          <w:p>
            <w:pPr>
              <w:spacing w:line="240" w:lineRule="auto"/>
            </w:pPr>
            <w:r>
              <w:rPr>
                <w:rFonts w:ascii="Arial" w:hAnsi="Arial"/>
                <w:b/>
                <w:sz w:val="17"/>
              </w:rPr>
              <w:t>Altai %</w:t>
            </w:r>
          </w:p>
        </w:tc>
        <w:tc>
          <w:tcPr>
            <w:tcW w:type="dxa" w:w="1337"/>
            <w:shd w:fill="D9EAF7"/>
          </w:tcPr>
          <w:p>
            <w:pPr>
              <w:spacing w:line="240" w:lineRule="auto"/>
            </w:pPr>
            <w:r>
              <w:rPr>
                <w:rFonts w:ascii="Arial" w:hAnsi="Arial"/>
                <w:b/>
                <w:sz w:val="17"/>
              </w:rPr>
              <w:t>Chagyrskaya %</w:t>
            </w:r>
          </w:p>
        </w:tc>
        <w:tc>
          <w:tcPr>
            <w:tcW w:type="dxa" w:w="1337"/>
            <w:shd w:fill="D9EAF7"/>
          </w:tcPr>
          <w:p>
            <w:pPr>
              <w:spacing w:line="240" w:lineRule="auto"/>
            </w:pPr>
            <w:r>
              <w:rPr>
                <w:rFonts w:ascii="Arial" w:hAnsi="Arial"/>
                <w:b/>
                <w:sz w:val="17"/>
              </w:rPr>
              <w:t>Tie %</w:t>
            </w:r>
          </w:p>
        </w:tc>
        <w:tc>
          <w:tcPr>
            <w:tcW w:type="dxa" w:w="1337"/>
            <w:shd w:fill="D9EAF7"/>
          </w:tcPr>
          <w:p>
            <w:pPr>
              <w:spacing w:line="240" w:lineRule="auto"/>
            </w:pPr>
            <w:r>
              <w:rPr>
                <w:rFonts w:ascii="Arial" w:hAnsi="Arial"/>
                <w:b/>
                <w:sz w:val="17"/>
              </w:rPr>
              <w:t>Strict ABO overlap</w:t>
            </w:r>
          </w:p>
        </w:tc>
      </w:tr>
      <w:tr>
        <w:tc>
          <w:tcPr>
            <w:tcW w:type="dxa" w:w="1337"/>
          </w:tcPr>
          <w:p>
            <w:pPr>
              <w:spacing w:line="240" w:lineRule="auto"/>
            </w:pPr>
            <w:r>
              <w:rPr>
                <w:rFonts w:ascii="Arial" w:hAnsi="Arial"/>
                <w:b w:val="0"/>
                <w:sz w:val="17"/>
              </w:rPr>
              <w:t>Europe</w:t>
            </w:r>
          </w:p>
        </w:tc>
        <w:tc>
          <w:tcPr>
            <w:tcW w:type="dxa" w:w="1337"/>
          </w:tcPr>
          <w:p>
            <w:pPr>
              <w:spacing w:line="240" w:lineRule="auto"/>
            </w:pPr>
            <w:r>
              <w:rPr>
                <w:rFonts w:ascii="Arial" w:hAnsi="Arial"/>
                <w:b w:val="0"/>
                <w:sz w:val="17"/>
              </w:rPr>
              <w:t>388</w:t>
            </w:r>
          </w:p>
        </w:tc>
        <w:tc>
          <w:tcPr>
            <w:tcW w:type="dxa" w:w="1337"/>
          </w:tcPr>
          <w:p>
            <w:pPr>
              <w:spacing w:line="240" w:lineRule="auto"/>
            </w:pPr>
            <w:r>
              <w:rPr>
                <w:rFonts w:ascii="Arial" w:hAnsi="Arial"/>
                <w:b w:val="0"/>
                <w:sz w:val="17"/>
              </w:rPr>
              <w:t>33.0</w:t>
            </w:r>
          </w:p>
        </w:tc>
        <w:tc>
          <w:tcPr>
            <w:tcW w:type="dxa" w:w="1337"/>
          </w:tcPr>
          <w:p>
            <w:pPr>
              <w:spacing w:line="240" w:lineRule="auto"/>
            </w:pPr>
            <w:r>
              <w:rPr>
                <w:rFonts w:ascii="Arial" w:hAnsi="Arial"/>
                <w:b w:val="0"/>
                <w:sz w:val="17"/>
              </w:rPr>
              <w:t>5.2</w:t>
            </w:r>
          </w:p>
        </w:tc>
        <w:tc>
          <w:tcPr>
            <w:tcW w:type="dxa" w:w="1337"/>
          </w:tcPr>
          <w:p>
            <w:pPr>
              <w:spacing w:line="240" w:lineRule="auto"/>
            </w:pPr>
            <w:r>
              <w:rPr>
                <w:rFonts w:ascii="Arial" w:hAnsi="Arial"/>
                <w:b w:val="0"/>
                <w:sz w:val="17"/>
              </w:rPr>
              <w:t>32.7</w:t>
            </w:r>
          </w:p>
        </w:tc>
        <w:tc>
          <w:tcPr>
            <w:tcW w:type="dxa" w:w="1337"/>
          </w:tcPr>
          <w:p>
            <w:pPr>
              <w:spacing w:line="240" w:lineRule="auto"/>
            </w:pPr>
            <w:r>
              <w:rPr>
                <w:rFonts w:ascii="Arial" w:hAnsi="Arial"/>
                <w:b w:val="0"/>
                <w:sz w:val="17"/>
              </w:rPr>
              <w:t>29.1</w:t>
            </w:r>
          </w:p>
        </w:tc>
        <w:tc>
          <w:tcPr>
            <w:tcW w:type="dxa" w:w="1337"/>
          </w:tcPr>
          <w:p>
            <w:pPr>
              <w:spacing w:line="240" w:lineRule="auto"/>
            </w:pPr>
            <w:r>
              <w:rPr>
                <w:rFonts w:ascii="Arial" w:hAnsi="Arial"/>
                <w:b w:val="0"/>
                <w:sz w:val="17"/>
              </w:rPr>
              <w:t>56</w:t>
            </w:r>
          </w:p>
        </w:tc>
      </w:tr>
      <w:tr>
        <w:tc>
          <w:tcPr>
            <w:tcW w:type="dxa" w:w="1337"/>
          </w:tcPr>
          <w:p>
            <w:pPr>
              <w:spacing w:line="240" w:lineRule="auto"/>
            </w:pPr>
            <w:r>
              <w:rPr>
                <w:rFonts w:ascii="Arial" w:hAnsi="Arial"/>
                <w:b w:val="0"/>
                <w:sz w:val="17"/>
              </w:rPr>
              <w:t>Middle East</w:t>
            </w:r>
          </w:p>
        </w:tc>
        <w:tc>
          <w:tcPr>
            <w:tcW w:type="dxa" w:w="1337"/>
          </w:tcPr>
          <w:p>
            <w:pPr>
              <w:spacing w:line="240" w:lineRule="auto"/>
            </w:pPr>
            <w:r>
              <w:rPr>
                <w:rFonts w:ascii="Arial" w:hAnsi="Arial"/>
                <w:b w:val="0"/>
                <w:sz w:val="17"/>
              </w:rPr>
              <w:t>59</w:t>
            </w:r>
          </w:p>
        </w:tc>
        <w:tc>
          <w:tcPr>
            <w:tcW w:type="dxa" w:w="1337"/>
          </w:tcPr>
          <w:p>
            <w:pPr>
              <w:spacing w:line="240" w:lineRule="auto"/>
            </w:pPr>
            <w:r>
              <w:rPr>
                <w:rFonts w:ascii="Arial" w:hAnsi="Arial"/>
                <w:b w:val="0"/>
                <w:sz w:val="17"/>
              </w:rPr>
              <w:t>39.0</w:t>
            </w:r>
          </w:p>
        </w:tc>
        <w:tc>
          <w:tcPr>
            <w:tcW w:type="dxa" w:w="1337"/>
          </w:tcPr>
          <w:p>
            <w:pPr>
              <w:spacing w:line="240" w:lineRule="auto"/>
            </w:pPr>
            <w:r>
              <w:rPr>
                <w:rFonts w:ascii="Arial" w:hAnsi="Arial"/>
                <w:b w:val="0"/>
                <w:sz w:val="17"/>
              </w:rPr>
              <w:t>8.5</w:t>
            </w:r>
          </w:p>
        </w:tc>
        <w:tc>
          <w:tcPr>
            <w:tcW w:type="dxa" w:w="1337"/>
          </w:tcPr>
          <w:p>
            <w:pPr>
              <w:spacing w:line="240" w:lineRule="auto"/>
            </w:pPr>
            <w:r>
              <w:rPr>
                <w:rFonts w:ascii="Arial" w:hAnsi="Arial"/>
                <w:b w:val="0"/>
                <w:sz w:val="17"/>
              </w:rPr>
              <w:t>27.1</w:t>
            </w:r>
          </w:p>
        </w:tc>
        <w:tc>
          <w:tcPr>
            <w:tcW w:type="dxa" w:w="1337"/>
          </w:tcPr>
          <w:p>
            <w:pPr>
              <w:spacing w:line="240" w:lineRule="auto"/>
            </w:pPr>
            <w:r>
              <w:rPr>
                <w:rFonts w:ascii="Arial" w:hAnsi="Arial"/>
                <w:b w:val="0"/>
                <w:sz w:val="17"/>
              </w:rPr>
              <w:t>25.4</w:t>
            </w:r>
          </w:p>
        </w:tc>
        <w:tc>
          <w:tcPr>
            <w:tcW w:type="dxa" w:w="1337"/>
          </w:tcPr>
          <w:p>
            <w:pPr>
              <w:spacing w:line="240" w:lineRule="auto"/>
            </w:pPr>
            <w:r>
              <w:rPr>
                <w:rFonts w:ascii="Arial" w:hAnsi="Arial"/>
                <w:b w:val="0"/>
                <w:sz w:val="17"/>
              </w:rPr>
              <w:t>8</w:t>
            </w:r>
          </w:p>
        </w:tc>
      </w:tr>
      <w:tr>
        <w:tc>
          <w:tcPr>
            <w:tcW w:type="dxa" w:w="1337"/>
          </w:tcPr>
          <w:p>
            <w:pPr>
              <w:spacing w:line="240" w:lineRule="auto"/>
            </w:pPr>
            <w:r>
              <w:rPr>
                <w:rFonts w:ascii="Arial" w:hAnsi="Arial"/>
                <w:b w:val="0"/>
                <w:sz w:val="17"/>
              </w:rPr>
              <w:t>Central/South Asia</w:t>
            </w:r>
          </w:p>
        </w:tc>
        <w:tc>
          <w:tcPr>
            <w:tcW w:type="dxa" w:w="1337"/>
          </w:tcPr>
          <w:p>
            <w:pPr>
              <w:spacing w:line="240" w:lineRule="auto"/>
            </w:pPr>
            <w:r>
              <w:rPr>
                <w:rFonts w:ascii="Arial" w:hAnsi="Arial"/>
                <w:b w:val="0"/>
                <w:sz w:val="17"/>
              </w:rPr>
              <w:t>140</w:t>
            </w:r>
          </w:p>
        </w:tc>
        <w:tc>
          <w:tcPr>
            <w:tcW w:type="dxa" w:w="1337"/>
          </w:tcPr>
          <w:p>
            <w:pPr>
              <w:spacing w:line="240" w:lineRule="auto"/>
            </w:pPr>
            <w:r>
              <w:rPr>
                <w:rFonts w:ascii="Arial" w:hAnsi="Arial"/>
                <w:b w:val="0"/>
                <w:sz w:val="17"/>
              </w:rPr>
              <w:t>31.4</w:t>
            </w:r>
          </w:p>
        </w:tc>
        <w:tc>
          <w:tcPr>
            <w:tcW w:type="dxa" w:w="1337"/>
          </w:tcPr>
          <w:p>
            <w:pPr>
              <w:spacing w:line="240" w:lineRule="auto"/>
            </w:pPr>
            <w:r>
              <w:rPr>
                <w:rFonts w:ascii="Arial" w:hAnsi="Arial"/>
                <w:b w:val="0"/>
                <w:sz w:val="17"/>
              </w:rPr>
              <w:t>6.4</w:t>
            </w:r>
          </w:p>
        </w:tc>
        <w:tc>
          <w:tcPr>
            <w:tcW w:type="dxa" w:w="1337"/>
          </w:tcPr>
          <w:p>
            <w:pPr>
              <w:spacing w:line="240" w:lineRule="auto"/>
            </w:pPr>
            <w:r>
              <w:rPr>
                <w:rFonts w:ascii="Arial" w:hAnsi="Arial"/>
                <w:b w:val="0"/>
                <w:sz w:val="17"/>
              </w:rPr>
              <w:t>32.1</w:t>
            </w:r>
          </w:p>
        </w:tc>
        <w:tc>
          <w:tcPr>
            <w:tcW w:type="dxa" w:w="1337"/>
          </w:tcPr>
          <w:p>
            <w:pPr>
              <w:spacing w:line="240" w:lineRule="auto"/>
            </w:pPr>
            <w:r>
              <w:rPr>
                <w:rFonts w:ascii="Arial" w:hAnsi="Arial"/>
                <w:b w:val="0"/>
                <w:sz w:val="17"/>
              </w:rPr>
              <w:t>30.0</w:t>
            </w:r>
          </w:p>
        </w:tc>
        <w:tc>
          <w:tcPr>
            <w:tcW w:type="dxa" w:w="1337"/>
          </w:tcPr>
          <w:p>
            <w:pPr>
              <w:spacing w:line="240" w:lineRule="auto"/>
            </w:pPr>
            <w:r>
              <w:rPr>
                <w:rFonts w:ascii="Arial" w:hAnsi="Arial"/>
                <w:b w:val="0"/>
                <w:sz w:val="17"/>
              </w:rPr>
              <w:t>31</w:t>
            </w:r>
          </w:p>
        </w:tc>
      </w:tr>
      <w:tr>
        <w:tc>
          <w:tcPr>
            <w:tcW w:type="dxa" w:w="1337"/>
          </w:tcPr>
          <w:p>
            <w:pPr>
              <w:spacing w:line="240" w:lineRule="auto"/>
            </w:pPr>
            <w:r>
              <w:rPr>
                <w:rFonts w:ascii="Arial" w:hAnsi="Arial"/>
                <w:b w:val="0"/>
                <w:sz w:val="17"/>
              </w:rPr>
              <w:t>East Asia</w:t>
            </w:r>
          </w:p>
        </w:tc>
        <w:tc>
          <w:tcPr>
            <w:tcW w:type="dxa" w:w="1337"/>
          </w:tcPr>
          <w:p>
            <w:pPr>
              <w:spacing w:line="240" w:lineRule="auto"/>
            </w:pPr>
            <w:r>
              <w:rPr>
                <w:rFonts w:ascii="Arial" w:hAnsi="Arial"/>
                <w:b w:val="0"/>
                <w:sz w:val="17"/>
              </w:rPr>
              <w:t>69</w:t>
            </w:r>
          </w:p>
        </w:tc>
        <w:tc>
          <w:tcPr>
            <w:tcW w:type="dxa" w:w="1337"/>
          </w:tcPr>
          <w:p>
            <w:pPr>
              <w:spacing w:line="240" w:lineRule="auto"/>
            </w:pPr>
            <w:r>
              <w:rPr>
                <w:rFonts w:ascii="Arial" w:hAnsi="Arial"/>
                <w:b w:val="0"/>
                <w:sz w:val="17"/>
              </w:rPr>
              <w:t>1.4</w:t>
            </w:r>
          </w:p>
        </w:tc>
        <w:tc>
          <w:tcPr>
            <w:tcW w:type="dxa" w:w="1337"/>
          </w:tcPr>
          <w:p>
            <w:pPr>
              <w:spacing w:line="240" w:lineRule="auto"/>
            </w:pPr>
            <w:r>
              <w:rPr>
                <w:rFonts w:ascii="Arial" w:hAnsi="Arial"/>
                <w:b w:val="0"/>
                <w:sz w:val="17"/>
              </w:rPr>
              <w:t>44.9</w:t>
            </w:r>
          </w:p>
        </w:tc>
        <w:tc>
          <w:tcPr>
            <w:tcW w:type="dxa" w:w="1337"/>
          </w:tcPr>
          <w:p>
            <w:pPr>
              <w:spacing w:line="240" w:lineRule="auto"/>
            </w:pPr>
            <w:r>
              <w:rPr>
                <w:rFonts w:ascii="Arial" w:hAnsi="Arial"/>
                <w:b w:val="0"/>
                <w:sz w:val="17"/>
              </w:rPr>
              <w:t>36.2</w:t>
            </w:r>
          </w:p>
        </w:tc>
        <w:tc>
          <w:tcPr>
            <w:tcW w:type="dxa" w:w="1337"/>
          </w:tcPr>
          <w:p>
            <w:pPr>
              <w:spacing w:line="240" w:lineRule="auto"/>
            </w:pPr>
            <w:r>
              <w:rPr>
                <w:rFonts w:ascii="Arial" w:hAnsi="Arial"/>
                <w:b w:val="0"/>
                <w:sz w:val="17"/>
              </w:rPr>
              <w:t>17.4</w:t>
            </w:r>
          </w:p>
        </w:tc>
        <w:tc>
          <w:tcPr>
            <w:tcW w:type="dxa" w:w="1337"/>
          </w:tcPr>
          <w:p>
            <w:pPr>
              <w:spacing w:line="240" w:lineRule="auto"/>
            </w:pPr>
            <w:r>
              <w:rPr>
                <w:rFonts w:ascii="Arial" w:hAnsi="Arial"/>
                <w:b w:val="0"/>
                <w:sz w:val="17"/>
              </w:rPr>
              <w:t>12</w:t>
            </w:r>
          </w:p>
        </w:tc>
      </w:tr>
      <w:tr>
        <w:tc>
          <w:tcPr>
            <w:tcW w:type="dxa" w:w="1337"/>
          </w:tcPr>
          <w:p>
            <w:pPr>
              <w:spacing w:line="240" w:lineRule="auto"/>
            </w:pPr>
            <w:r>
              <w:rPr>
                <w:rFonts w:ascii="Arial" w:hAnsi="Arial"/>
                <w:b w:val="0"/>
                <w:sz w:val="17"/>
              </w:rPr>
              <w:t>Oceania</w:t>
            </w:r>
          </w:p>
        </w:tc>
        <w:tc>
          <w:tcPr>
            <w:tcW w:type="dxa" w:w="1337"/>
          </w:tcPr>
          <w:p>
            <w:pPr>
              <w:spacing w:line="240" w:lineRule="auto"/>
            </w:pPr>
            <w:r>
              <w:rPr>
                <w:rFonts w:ascii="Arial" w:hAnsi="Arial"/>
                <w:b w:val="0"/>
                <w:sz w:val="17"/>
              </w:rPr>
              <w:t>26</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1</w:t>
            </w:r>
          </w:p>
        </w:tc>
      </w:tr>
      <w:tr>
        <w:tc>
          <w:tcPr>
            <w:tcW w:type="dxa" w:w="1337"/>
          </w:tcPr>
          <w:p>
            <w:pPr>
              <w:spacing w:line="240" w:lineRule="auto"/>
            </w:pPr>
            <w:r>
              <w:rPr>
                <w:rFonts w:ascii="Arial" w:hAnsi="Arial"/>
                <w:b w:val="0"/>
                <w:sz w:val="17"/>
              </w:rPr>
              <w:t>Admixed Americas</w:t>
            </w:r>
          </w:p>
        </w:tc>
        <w:tc>
          <w:tcPr>
            <w:tcW w:type="dxa" w:w="1337"/>
          </w:tcPr>
          <w:p>
            <w:pPr>
              <w:spacing w:line="240" w:lineRule="auto"/>
            </w:pPr>
            <w:r>
              <w:rPr>
                <w:rFonts w:ascii="Arial" w:hAnsi="Arial"/>
                <w:b w:val="0"/>
                <w:sz w:val="17"/>
              </w:rPr>
              <w:t>150</w:t>
            </w:r>
          </w:p>
        </w:tc>
        <w:tc>
          <w:tcPr>
            <w:tcW w:type="dxa" w:w="1337"/>
          </w:tcPr>
          <w:p>
            <w:pPr>
              <w:spacing w:line="240" w:lineRule="auto"/>
            </w:pPr>
            <w:r>
              <w:rPr>
                <w:rFonts w:ascii="Arial" w:hAnsi="Arial"/>
                <w:b w:val="0"/>
                <w:sz w:val="17"/>
              </w:rPr>
              <w:t>40.0</w:t>
            </w:r>
          </w:p>
        </w:tc>
        <w:tc>
          <w:tcPr>
            <w:tcW w:type="dxa" w:w="1337"/>
          </w:tcPr>
          <w:p>
            <w:pPr>
              <w:spacing w:line="240" w:lineRule="auto"/>
            </w:pPr>
            <w:r>
              <w:rPr>
                <w:rFonts w:ascii="Arial" w:hAnsi="Arial"/>
                <w:b w:val="0"/>
                <w:sz w:val="17"/>
              </w:rPr>
              <w:t>2.0</w:t>
            </w:r>
          </w:p>
        </w:tc>
        <w:tc>
          <w:tcPr>
            <w:tcW w:type="dxa" w:w="1337"/>
          </w:tcPr>
          <w:p>
            <w:pPr>
              <w:spacing w:line="240" w:lineRule="auto"/>
            </w:pPr>
            <w:r>
              <w:rPr>
                <w:rFonts w:ascii="Arial" w:hAnsi="Arial"/>
                <w:b w:val="0"/>
                <w:sz w:val="17"/>
              </w:rPr>
              <w:t>23.3</w:t>
            </w:r>
          </w:p>
        </w:tc>
        <w:tc>
          <w:tcPr>
            <w:tcW w:type="dxa" w:w="1337"/>
          </w:tcPr>
          <w:p>
            <w:pPr>
              <w:spacing w:line="240" w:lineRule="auto"/>
            </w:pPr>
            <w:r>
              <w:rPr>
                <w:rFonts w:ascii="Arial" w:hAnsi="Arial"/>
                <w:b w:val="0"/>
                <w:sz w:val="17"/>
              </w:rPr>
              <w:t>34.7</w:t>
            </w:r>
          </w:p>
        </w:tc>
        <w:tc>
          <w:tcPr>
            <w:tcW w:type="dxa" w:w="1337"/>
          </w:tcPr>
          <w:p>
            <w:pPr>
              <w:spacing w:line="240" w:lineRule="auto"/>
            </w:pPr>
            <w:r>
              <w:rPr>
                <w:rFonts w:ascii="Arial" w:hAnsi="Arial"/>
                <w:b w:val="0"/>
                <w:sz w:val="17"/>
              </w:rPr>
              <w:t>20</w:t>
            </w:r>
          </w:p>
        </w:tc>
      </w:tr>
      <w:tr>
        <w:tc>
          <w:tcPr>
            <w:tcW w:type="dxa" w:w="1337"/>
          </w:tcPr>
          <w:p>
            <w:pPr>
              <w:spacing w:line="240" w:lineRule="auto"/>
            </w:pPr>
            <w:r>
              <w:rPr>
                <w:rFonts w:ascii="Arial" w:hAnsi="Arial"/>
                <w:b w:val="0"/>
                <w:sz w:val="17"/>
              </w:rPr>
              <w:t>Indigenous Americas</w:t>
            </w:r>
          </w:p>
        </w:tc>
        <w:tc>
          <w:tcPr>
            <w:tcW w:type="dxa" w:w="1337"/>
          </w:tcPr>
          <w:p>
            <w:pPr>
              <w:spacing w:line="240" w:lineRule="auto"/>
            </w:pPr>
            <w:r>
              <w:rPr>
                <w:rFonts w:ascii="Arial" w:hAnsi="Arial"/>
                <w:b w:val="0"/>
                <w:sz w:val="17"/>
              </w:rPr>
              <w:t>2</w:t>
            </w:r>
          </w:p>
        </w:tc>
        <w:tc>
          <w:tcPr>
            <w:tcW w:type="dxa" w:w="1337"/>
          </w:tcPr>
          <w:p>
            <w:pPr>
              <w:spacing w:line="240" w:lineRule="auto"/>
            </w:pPr>
            <w:r>
              <w:rPr>
                <w:rFonts w:ascii="Arial" w:hAnsi="Arial"/>
                <w:b w:val="0"/>
                <w:sz w:val="17"/>
              </w:rPr>
              <w:t>100.0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1</w:t>
            </w:r>
          </w:p>
        </w:tc>
      </w:tr>
    </w:tbl>
    <w:p>
      <w:pPr>
        <w:spacing w:line="240" w:lineRule="auto"/>
      </w:pPr>
      <w:r>
        <w:rPr>
          <w:sz w:val="18"/>
        </w:rPr>
        <w:t>Note. Counts are segments, not individuals. Equal maximum similarity counts are reported as ties. The Indigenous American row contains two segments, only one of which overlaps ABO.</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should replace all values from the earlier prototype analysis.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