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(272,586 crash deaths), a +9°C anomaly raised same-day crash mortality, RR 1.165 (95% CI 1.135-1.196), and remained similar in a VIF-screened full-controls model (VIF threshold 10; retained log-population offset, daily precipitation and estimated WBGT anomaly; iteratively dropped vmt_state, humidex_anom, heat_index_anom; RR 1.170 (1.122-1.219); cumulative RR 1.086 (1.019-1.157)). The excess was larger for open-air users (motorcyclists RR 2.140, pedestrians RR 1.215) than vehicle occupants (RR 1.050). Net heat-attributable deaths were 528 per year (1.36%), similar to 527 recorded direct-heat deaths (ICD-10 X30); +1 to +3°C warming projected 347-1009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entered as a log offset</w:t>
      </w:r>
      <w:r>
        <w:rPr>
          <w:vertAlign w:val="superscript"/>
        </w:rPr>
        <w:t>12</w:t>
      </w:r>
      <w:r>
        <w:t>, state annual VMT</w:t>
      </w:r>
      <w:r>
        <w:rPr>
          <w:vertAlign w:val="superscript"/>
        </w:rPr>
        <w:t>13</w:t>
      </w:r>
      <w:r>
        <w:t xml:space="preserve"> and daily state precipitation, all as z-scored linear terms except the population offset, plus GHCN-derived heat-stress metrics (humidex, NOAA heat index, and an estimated wet-bulb globe temperature) expressed as anomalies relative to their day-of-year climatology. Because heat-stress metrics are functions of temperature and can be collinear with the anomaly exposure, we selected the primary full-controls model by a variance-inflation-factor (VIF) screen (iteratively dropping added controls with VIF &gt; 10). A stricter VIF &lt; 5 screen and an unscreened model retaining all candidate controls were also fitted and reported as sensitivity analyses. Heat-stress metrics were tested individually because they are functions of temperature. State fixed effects capture time-invariant cross-state differences in baseline risk, while the log-population offset scales expected counts within each state across years; because state annual VMT is correlated with population size, the two partly adjust for the same scale factor, so their simultaneous use is reported as a sensitivity analysis rather than the primary specification.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272,586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1.135-1.196), with a cumulative lag 0-10 RR of 1.076 (95% CI 1.017-1.139).</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 Black-and-white version: line styles and marker shapes distinguish categories.</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 Black-and-white version: line styles and marker shapes distinguish categories.</w:t>
      </w:r>
    </w:p>
    <w:p/>
    <w:p>
      <w:pPr>
        <w:spacing w:after="120" w:line="480" w:lineRule="auto"/>
      </w:pPr>
      <w:r>
        <w:t>The lag structure showed an acute same-day excess followed by a deficit at 1-3 days, RR 0.936 (0.904-0.968), consistent with short-term displacement (harvesting) rather than a net addition of deaths (Fig. 3; Table 2). The same-day association was essentially unchanged after adjusting for national vehicle-miles travelled and gasoline supplied (RR 1.163, 95% CI 1.133-1.194; cumulative RR 1.075 (1.015-1.138)). A variance-inflation-factor (VIF) 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Iteratively dropped variables were vmt_state, humidex_anom, heat_index_anom. Its same-day RR remained similar (RR 1.170 (1.122-1.219)), but the cumulative 0-10 day RR was attenuated (RR 1.086 (1.019-1.157)). A stricter VIF &lt; 5 screen retained daily precipitation (RR 1.165 (1.135-1.196); cumulative RR 1.083 (1.023-1.146)), while the unscreened full-controls model attenuated toward the null (RR 1.070 (1.021-1.121); cumulative RR 1.005 (0.941-1.073); max control VIF 323.8). Heat-stress metrics were tested individually because they are functions of temperature and can be collinear with the anomaly; they yielded variable same-day estimates and the heat-index model attenuated toward the null.</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 Black-and-white version: line styles and marker shapes distinguish categories.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(1.017-1.085), but much larger for open-air users: motorcyclists, RR 2.140 (2.000-2.290); pedestrians, RR 1.215 (1.147-1.288); and cyclists, RR 1.243 (1.038-1.490),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(1.059-1.190); 25-64 y RR 1.176 (1.139-1.215); 65+ y RR 1.176 (1.113-1.242) (Table 3), giving no clear age gradient. Second, the excess was largest for crashes in the hottest part of the day (12-17 h), RR 1.217 (1.160-1.276), and weakest in the cool morning (06-11 h), RR 1.062 (1.001-1.127); the overnight band was also elevated (00-05 h), RR 1.176 (1.108-1.249),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 Black-and-white version: categories are distinguished by the y-axis labels.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 Black-and-white version: the 12-17 h point is filled and the others are open to highlight the peak band.</w:t>
      </w:r>
    </w:p>
    <w:p/>
    <w:p>
      <w:pPr>
        <w:spacing w:after="120" w:line="480" w:lineRule="auto"/>
      </w:pPr>
      <w:r>
        <w:t>Net heat-attributable crash deaths were 528 per year (95% CI 425-631), an attributable fraction of 1.36%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 Black-and-white version: line styles and marker shapes distinguish categories.</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 Black-and-white version: the right-hand (estimate) bar is hatched to distinguish it from the left-hand (official) bar.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347 additional US crash deaths per year (95% CI 257-436), rising to 1009 (667-1384)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 Black-and-white version: line styles and marker shapes distinguish categories.</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347 (257-436)</w:t>
            </w:r>
          </w:p>
        </w:tc>
      </w:tr>
      <w:tr>
        <w:tc>
          <w:tcPr>
            <w:tcW w:type="dxa" w:w="4320"/>
          </w:tcPr>
          <w:p>
            <w:r>
              <w:t>+2°C</w:t>
            </w:r>
          </w:p>
        </w:tc>
        <w:tc>
          <w:tcPr>
            <w:tcW w:type="dxa" w:w="4320"/>
          </w:tcPr>
          <w:p>
            <w:r>
              <w:t>678 (474-881)</w:t>
            </w:r>
          </w:p>
        </w:tc>
      </w:tr>
      <w:tr>
        <w:tc>
          <w:tcPr>
            <w:tcW w:type="dxa" w:w="4320"/>
          </w:tcPr>
          <w:p>
            <w:r>
              <w:t>+3°C</w:t>
            </w:r>
          </w:p>
        </w:tc>
        <w:tc>
          <w:tcPr>
            <w:tcW w:type="dxa" w:w="4320"/>
          </w:tcPr>
          <w:p>
            <w:r>
              <w:t>1009 (667-1384)</w:t>
            </w:r>
          </w:p>
        </w:tc>
      </w:tr>
    </w:tbl>
    <w:p/>
    <w:p>
      <w:pPr>
        <w:spacing w:after="120" w:line="480" w:lineRule="auto"/>
      </w:pPr>
      <w:r>
        <w:t>Sensitivity to activity, precipitation and heat-stress controls is summarized in Table 6. All added continuous terms were z-scored linear terms; state population entered as a log offset, and heat-stress metrics were expressed as anomalies relative to their day-of-year climatology. The primary full-controls model was selected by iteratively removing added controls with VIF &gt; 10; dropped variables were vmt_state (VIF=323.8); humidex_anom (VIF=63.5); heat_index_anom (VIF=24.5). A stricter VIF &lt; 5 screen and an unscreened full-controls model are also shown. Heat-stress metrics showed high collinearity with the temperature anomaly when entered individually, so they are reported separately as sensitivity analyses rather than being included simultaneously.</w:t>
      </w:r>
    </w:p>
    <w:p>
      <w:pPr>
        <w:spacing w:before="280"/>
      </w:pPr>
      <w:r>
        <w:rPr>
          <w:b/>
        </w:rPr>
        <w:t xml:space="preserve">Table 6.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selected by iteratively removing added controls with VIF &gt; 10. A stricter VIF &lt; 5 screen and an unscreened model are also shown. Heat-stress metrics were tested individually because they are functions of temperature and can be collinear with the anomaly.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 Black-and-white version: line styles and marker shapes distinguish categories.</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 Black-and-white version: US (square) and Japan (circle) estimates use different marker shapes.</w:t>
      </w:r>
    </w:p>
    <w:p/>
    <w:p>
      <w:pPr>
        <w:pStyle w:val="Heading1"/>
      </w:pPr>
      <w:r>
        <w:t>Discussion</w:t>
      </w:r>
    </w:p>
    <w:p>
      <w:pPr>
        <w:spacing w:after="120" w:line="480" w:lineRule="auto"/>
      </w:pPr>
      <w:r>
        <w:t>A +9 °C temperature anomaly was associated with a same-day rate ratio of 1.165 (95% CI 1.135-1.196) for US traffic-crash deaths, and the net annual heat-attributable burden was 528 deaths (95% CI 425-631), similar to the 527 officially recorded direct-heat deaths per year. This acute, same-day excess was not explained by aggregate driving activity, and it remained in the VIF-screened full-controls model (added controls iteratively removed when VIF &gt; 10, retaining log-population offset, daily precipitation and estimated WBGT anomaly; dropped: vmt_state, humidex_anom, heat_index_anom), RR 1.170 (1.122-1.219)). The cumulative 0-10 day RR in that model was attenuated (RR 1.086 (1.019-1.157)).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their batteries, motors and tyres are heat-stressed and may become prone to sudden power loss or brake failure in hot weather,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Eighth, the findings are drawn from the United States and Japan because, among high-income countries with comparably robust road-crash and meteorological data collection, no other country currently provides a fully open, daily, individual-level crash record equivalent to FARS or the Japanese NPA open data; the EU CARE database contains detailed individual accident records but is not publicly available at the daily individual level, and national open road-safety datasets in Europe are not harmonised, so the United States and Japan represent the best available public sources for this study design.</w:t>
      </w:r>
      <w:r>
        <w:rPr>
          <w:vertAlign w:val="superscript"/>
        </w:rPr>
        <w:t>17</w:t>
      </w:r>
      <w:r>
        <w:t xml:space="preserve">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US Census Bureau. n.d. Population Estimates Program. Annual state population estimates. https://www.census.gov/programs-surveys/popest.html [accessed 22 August 2026].</w:t>
      </w:r>
    </w:p>
    <w:p>
      <w:pPr>
        <w:spacing w:after="80"/>
      </w:pPr>
      <w:r>
        <w:t>13. Federal Highway Administration. n.d. Highway Statistics VM-2: Annual state vehicle-miles travelled. https://www.fhwa.dot.gov/policyinformation/statistics.cfm [accessed 22 August 2026].</w:t>
      </w:r>
    </w:p>
    <w:p>
      <w:pPr>
        <w:spacing w:after="80"/>
      </w:pPr>
      <w:r>
        <w:t>14. Centers for Disease Control and Prevention. n.d. CDC WONDER Underlying Cause of Death database. https://wonder.cdc.gov/ [accessed 22 August 2026].</w:t>
      </w:r>
    </w:p>
    <w:p>
      <w:pPr>
        <w:spacing w:after="80"/>
      </w:pPr>
      <w:r>
        <w:t>15. Daanen HAM, van de Vliert E, Huang X. 2003. Driving performance in cold, warm, and thermoneutral environments. Appl Ergon 34(6):597-602, PMID: 14559420, 10.1016/S0003-6870(03)00055-3.</w:t>
      </w:r>
    </w:p>
    <w:p>
      <w:pPr>
        <w:spacing w:after="80"/>
      </w:pPr>
      <w:r>
        <w:t>16. IPCC. 2021. Climate Change 2021: The Physical Science Basis. Contribution of Working Group I to the Sixth Assessment Report of the Intergovernmental Panel on Climate Change. Cambridge: Cambridge University Press.</w:t>
      </w:r>
    </w:p>
    <w:p>
      <w:pPr>
        <w:spacing w:after="80"/>
      </w:pPr>
      <w:r>
        <w:t>17. European Commission, Directorate-General for Mobility and Transport. n.d. Community database on road accidents (CARE). https://road-safety.transport.ec.europa.eu/european-road-safety-observatory/methodology-and-research/care-database_en [accessed 22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