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Regional Variation in Pain-Related Prescribing Across Japan’s 47 Prefectures: An Ecological Study Using the National Database of Health Insurance Claims</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Article type: </w:t>
      </w:r>
      <w:r>
        <w:t>Original Article</w:t>
      </w:r>
    </w:p>
    <w:p>
      <w:r>
        <w:rPr>
          <w:b/>
        </w:rPr>
        <w:t xml:space="preserve">Running title: </w:t>
      </w:r>
      <w:r>
        <w:t>Pain prescribing variation in Japan</w:t>
      </w:r>
    </w:p>
    <w:p>
      <w:r>
        <w:rPr>
          <w:b/>
        </w:rPr>
        <w:t xml:space="preserve">Word count (body): </w:t>
      </w:r>
      <w:r>
        <w:t>[body word count]</w:t>
      </w:r>
    </w:p>
    <w:p>
      <w:r>
        <w:rPr>
          <w:b/>
        </w:rPr>
        <w:t xml:space="preserve">Word count (abstract): </w:t>
      </w:r>
      <w:r>
        <w:t>[abstract word count]</w:t>
      </w:r>
    </w:p>
    <w:p>
      <w:r>
        <w:rPr>
          <w:b/>
        </w:rPr>
        <w:t xml:space="preserve">Number of figures: </w:t>
      </w:r>
      <w:r>
        <w:t>3</w:t>
      </w:r>
    </w:p>
    <w:p>
      <w:r>
        <w:rPr>
          <w:b/>
        </w:rPr>
        <w:t xml:space="preserve">Number of tables: </w:t>
      </w:r>
      <w:r>
        <w:t>2</w:t>
      </w:r>
    </w:p>
    <w:p>
      <w:r>
        <w:rPr>
          <w:b/>
        </w:rPr>
        <w:t xml:space="preserve">Number of supplementary materials: </w:t>
      </w:r>
      <w:r>
        <w:t>1 (Supplementary Table 1)</w:t>
      </w:r>
    </w:p>
    <w:p>
      <w:r>
        <w:rPr>
          <w:b/>
        </w:rPr>
        <w:t xml:space="preserve">Keywords: </w:t>
      </w:r>
      <w:r>
        <w:t>analgesics; ecological study; health care disparities; Japan; prescriptions</w:t>
      </w:r>
    </w:p>
    <w:p>
      <w:r>
        <w:br w:type="page"/>
      </w:r>
    </w:p>
    <w:p>
      <w:pPr>
        <w:pStyle w:val="Heading1"/>
      </w:pPr>
      <w:r>
        <w:rPr>
          <w:rFonts w:ascii="Times New Roman" w:hAnsi="Times New Roman"/>
          <w:color w:val="000000"/>
        </w:rPr>
        <w:t>Abstract</w:t>
      </w:r>
    </w:p>
    <w:p>
      <w:r>
        <w:rPr>
          <w:b/>
        </w:rPr>
        <w:t xml:space="preserve">Background: </w:t>
      </w:r>
      <w:r>
        <w:t>Pain-related prescribing practices may vary geographically even within a single national health insurance system, but the magnitude and determinants of such variation remain poorly characterised in Japan.</w:t>
      </w:r>
    </w:p>
    <w:p>
      <w:r>
        <w:rPr>
          <w:b/>
        </w:rPr>
        <w:t xml:space="preserve">Methods: </w:t>
      </w:r>
      <w:r>
        <w:t>This ecological study analysed prefecture-level aggregate data from the National Database of Health Insurance Claims (NDB Open Data, 10th edition; April 2023–March 2024) covering all 47 prefectures. Phase 1 examined acute perioperative analgesic prescribing per surgery. Phase 2 examined outpatient neuropathic pain drug prescribing as a chronic pain proxy, with regression adjustment for confounding disease proxies (diabetes, herpes zoster, depression, anxiety). Standardised claim ratios (SCR) were computed by indirect age-sex standardisation.</w:t>
      </w:r>
    </w:p>
    <w:p>
      <w:r>
        <w:rPr>
          <w:b/>
        </w:rPr>
        <w:t xml:space="preserve">Results: </w:t>
      </w:r>
      <w:r>
        <w:t>Acute analgesic prescribing varied 1.97-fold across prefectures (Kruskal–Wallis P&lt;0.001). Unadjusted neuropathic pain prescribing showed marked regional clustering, but confounding disease proxies—particularly diabetes drugs (r=0.87)—explained 81% of between-prefecture variance. After confounder adjustment, apparent inter-regional differences were substantially attenuated and became nonsignificant. Age-sex standardised SCR confirmed 2.3-fold variation in analgesic prescribing independent of demographic structure.</w:t>
      </w:r>
    </w:p>
    <w:p>
      <w:r>
        <w:rPr>
          <w:b/>
        </w:rPr>
        <w:t xml:space="preserve">Conclusions: </w:t>
      </w:r>
      <w:r>
        <w:t>Nearly twofold within-country variation in pain-related prescribing persists after age-sex standardisation, indicating supply-sensitive practice variation. Ecological studies of neuropathic pain drugs must account for confounding diseases, particularly diabetes, to avoid misattributing disease-driven prescribing to regional practice differences.</w:t>
      </w:r>
    </w:p>
    <w:p>
      <w:r>
        <w:br w:type="page"/>
      </w:r>
    </w:p>
    <w:p>
      <w:pPr>
        <w:pStyle w:val="Heading1"/>
      </w:pPr>
      <w:r>
        <w:rPr>
          <w:rFonts w:ascii="Times New Roman" w:hAnsi="Times New Roman"/>
          <w:color w:val="000000"/>
        </w:rPr>
        <w:t>Introduction</w:t>
      </w:r>
    </w:p>
    <w:p>
      <w:r>
        <w:t>Geographic variation in medical practice has been recognised as a major challenge for healthcare quality since Wennberg's pioneering work on small-area variation.</w:t>
      </w:r>
      <w:r>
        <w:rPr>
          <w:sz w:val="20"/>
          <w:vertAlign w:val="superscript"/>
        </w:rPr>
        <w:t>1</w:t>
      </w:r>
      <w:r>
        <w:t xml:space="preserve"> When prescribing rates differ across regions beyond what disease burden and demographics can explain, such unwarranted variation signals potential over- or under-treatment and merits systematic investigation.</w:t>
      </w:r>
      <w:r>
        <w:rPr>
          <w:sz w:val="20"/>
          <w:vertAlign w:val="superscript"/>
        </w:rPr>
        <w:t>1,16</w:t>
      </w:r>
      <w:r/>
    </w:p>
    <w:p>
      <w:r>
        <w:t>Japan's universal health insurance system, standardised drug pricing, and the National Database of Health Insurance Claims (NDB)—which captures virtually all reimbursed healthcare utilisation for approximately 125 million insured individuals</w:t>
      </w:r>
      <w:r>
        <w:rPr>
          <w:sz w:val="20"/>
          <w:vertAlign w:val="superscript"/>
        </w:rPr>
        <w:t>3</w:t>
      </w:r>
      <w:r>
        <w:t>—provide a unique setting for studying practice variation. Taira et al demonstrated substantial regional inequality in dental care utilisation using NDB-derived standardised claim ratios across all 47 prefectures.</w:t>
      </w:r>
      <w:r>
        <w:rPr>
          <w:sz w:val="20"/>
          <w:vertAlign w:val="superscript"/>
        </w:rPr>
        <w:t>2</w:t>
      </w:r>
      <w:r>
        <w:t xml:space="preserve"> Recent studies have also documented up to 1.6-fold regional variation in chronic pain prevalence</w:t>
      </w:r>
      <w:r>
        <w:rPr>
          <w:sz w:val="20"/>
          <w:vertAlign w:val="superscript"/>
        </w:rPr>
        <w:t>4</w:t>
      </w:r>
      <w:r>
        <w:t xml:space="preserve"> and 4-fold variation in cancer opioid prescribing.</w:t>
      </w:r>
      <w:r>
        <w:rPr>
          <w:sz w:val="20"/>
          <w:vertAlign w:val="superscript"/>
        </w:rPr>
        <w:t>5</w:t>
      </w:r>
      <w:r>
        <w:t xml:space="preserve"> However, no study has comprehensively mapped pain-related prescribing variation across all 47 prefectures using the population-complete NDB.</w:t>
      </w:r>
    </w:p>
    <w:p>
      <w:r>
        <w:t>Pain management is particularly amenable to ecological analysis because analgesic prescribing reflects both disease burden and clinical practice patterns. The perioperative setting offers a further methodological advantage: because all patients in this analysis are hospitalised for surgery, healthcare access—a major confounder in community-based prescribing studies—is neutralised by design. Outpatient neuropathic pain drugs can serve as a population-level proxy for chronic pain burden, but these medications have multiple indications (notably diabetic neuropathy), requiring careful confounder adjustment.</w:t>
      </w:r>
    </w:p>
    <w:p>
      <w:r>
        <w:t>This study had three objectives: (1) map regional variation in acute perioperative analgesic prescribing across 47 prefectures; (2) examine outpatient neuropathic pain drug prescribing as a chronic postsurgical pain (CPSP) proxy after adjustment for confounding diseases; and (3) quantify the contribution of confounders to the apparent regional pattern.</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6</w:t>
      </w:r>
      <w:r>
        <w:t xml:space="preserve"> and the REporting of studies Conducted using Observational Routinely-collected health Data (RECORD) extension.</w:t>
      </w:r>
      <w:r>
        <w:rPr>
          <w:sz w:val="20"/>
          <w:vertAlign w:val="superscript"/>
        </w:rPr>
        <w:t>7</w:t>
      </w:r>
      <w:r>
        <w:t xml:space="preserve">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3</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10 events. Prefecture-level population estimates (October 2023, by 5-year age group and sex) from the Statistics Bureau of Japan were used to compute per-capita rates and standardised claim ratios.</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Kanto (7), Hokuriku-Koshinetsu (6), Tokai (4), Kinki (6), Chugoku (5), Shikoku (4), and Kyushu-Okinawa (8).</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and Class 821 (synthetic narcotics including fentanyl and pethidine). The analgesic-per-surgery index was calculated for each prefecture as total inpatient analgesic prescription units divided by total inpatient surgical procedure count (K Surgery section), providing a standardised measure of analgesic intensity that accounts for differences in surgical volume.</w:t>
      </w:r>
    </w:p>
    <w:p>
      <w:pPr>
        <w:pStyle w:val="Heading2"/>
      </w:pPr>
      <w:r>
        <w:rPr>
          <w:rFonts w:ascii="Times New Roman" w:hAnsi="Times New Roman"/>
          <w:color w:val="000000"/>
        </w:rPr>
        <w:t>Phase 2: Outpatient neuropathic pain prescribing</w:t>
      </w:r>
    </w:p>
    <w:p>
      <w:r>
        <w:t>Five classes of outpatient oral neuropathic pain medications were extracted: pregabalin (78 formulations), mirogabalin (8), duloxetine (33), tramadol (3), and neurotropin (1). The neuropathic pain prescribing-per-surgery index was calculated as total outpatient neuropathic pain drug quantity divided by total inpatient surgical procedure count. Per-capita neuropathic pain prescribing rates were additionally computed.</w:t>
      </w:r>
    </w:p>
    <w:p>
      <w:pPr>
        <w:pStyle w:val="Heading2"/>
      </w:pPr>
      <w:r>
        <w:rPr>
          <w:rFonts w:ascii="Times New Roman" w:hAnsi="Times New Roman"/>
          <w:color w:val="000000"/>
        </w:rPr>
        <w:t>Confounder disease proxies</w:t>
      </w:r>
    </w:p>
    <w:p>
      <w:r>
        <w:t>Four confounder disease proxies were extracted from outpatient data: oral hypoglycaemic agents (261 formulations; proxy for diabetic neuropathy), herpes zoster antivirals (47 formulations; proxy for postherpetic neuralgia), antidepressants excluding duloxetine (128 formulations; proxy for depression), and anxiolytics (112 formulations; proxy for anxiety disorders). Each proxy was expressed per surgery for consistency. Outpatient nerve block procedure counts (73 codes) served as an additional independent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 hoc Mann–Whitney U tests with Bonferroni correction. Effect sizes were quantified using Cohen's d. For Phase 2, five regression models were fitted with progressive confounder adjustment: Model 1 (unadjusted inter-regional comparison), Model 2 (neuropathic pain ~ diabetes + herpes + antidepressants + anxiolytics + region), Model 3 (core neuropathic drugs only ~ same confounders), Model 4 (nerve blocks ~ same confounders), and Model 5 (neuropathic pain ~ acute analgesic index + confounders). The adjusted CPSP index was derived as residuals from regressing neuropathic pain prescribing on the four confounder proxies.</w:t>
      </w:r>
    </w:p>
    <w:p>
      <w:r>
        <w:t>Standardised claim ratios (SCR) were computed by indirect age-sex standardisation following Taira et al.</w:t>
      </w:r>
      <w:r>
        <w:rPr>
          <w:sz w:val="20"/>
          <w:vertAlign w:val="superscript"/>
        </w:rPr>
        <w:t>2</w:t>
      </w:r>
      <w:r>
        <w:t xml:space="preserve"> National age-sex-specific prescription rates (18 five-year age groups × 2 sexes) were applied to each prefecture's population structure. All analyses used Python 3.11 (NumPy 1.24, SciPy 1.11).</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P&lt;0.001 across nine regions; Table 1).</w:t>
      </w:r>
    </w:p>
    <w:p>
      <w:pPr>
        <w:spacing w:before="280"/>
      </w:pPr>
      <w:r>
        <w:rPr>
          <w:b/>
          <w:sz w:val="20"/>
        </w:rPr>
        <w:t xml:space="preserve">Table 1. </w:t>
      </w:r>
      <w:r>
        <w:rPr>
          <w:sz w:val="20"/>
        </w:rPr>
        <w:t>Regional summary of inpatient analgesic prescribing per surgery. Values are mean (SD). 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w:t>
            </w:r>
          </w:p>
        </w:tc>
        <w:tc>
          <w:tcPr>
            <w:tcW w:type="dxa" w:w="2126"/>
          </w:tcPr>
          <w:p>
            <w:r>
              <w:rPr>
                <w:b/>
                <w:sz w:val="18"/>
              </w:rPr>
              <w:t>Mean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(4.33)</w:t>
            </w:r>
          </w:p>
        </w:tc>
        <w:tc>
          <w:tcPr>
            <w:tcW w:type="dxa" w:w="2126"/>
          </w:tcPr>
          <w:p>
            <w:r>
              <w:rPr>
                <w:sz w:val="18"/>
              </w:rPr>
              <w:t>35.81–49.75</w:t>
            </w:r>
          </w:p>
        </w:tc>
      </w:tr>
    </w:tbl>
    <w:p/>
    <w:p>
      <w:r>
        <w:t>Substantial regional clustering was observed (Table 1). Tokai and Kinki had the lowest indices, while Kyushu-Okinawa and Hokkaido had the highest. Post hoc pairwise comparisons confirmed significant differences between several regional blocks (Bonferroni-corrected Mann–Whitney U tests). This pattern was consistent across all three analgesic drug classes: NSAIDs, opioid alkaloids, and synthetic opioids.</w:t>
      </w:r>
    </w:p>
    <w:p>
      <w:pPr>
        <w:pStyle w:val="Heading2"/>
      </w:pPr>
      <w:r>
        <w:rPr>
          <w:rFonts w:ascii="Times New Roman" w:hAnsi="Times New Roman"/>
          <w:color w:val="000000"/>
        </w:rPr>
        <w:t>Phase 2: Outpatient neuropathic pain prescribing</w:t>
      </w:r>
    </w:p>
    <w:p>
      <w:r>
        <w:t>Outpatient neuropathic pain drug prescriptions totalled 2,289,549,163 units, comprising pregabalin (40.2%), neurotropin (20.1%), mirogabalin (19.6%), duloxetine (15.3%), and tramadol (4.9%). Marked inter-regional variation was observed in neuropathic pain prescribing-per-surgery index (Kruskal–Wallis P&lt;0.001; Figure 1), with individual prefectures spanning a wide range.</w:t>
      </w:r>
    </w:p>
    <w:p>
      <w:pPr>
        <w:spacing w:before="360" w:after="120"/>
        <w:jc w:val="center"/>
      </w:pPr>
      <w:r>
        <w:drawing>
          <wp:inline xmlns:a="http://schemas.openxmlformats.org/drawingml/2006/main" xmlns:pic="http://schemas.openxmlformats.org/drawingml/2006/picture">
            <wp:extent cx="5029200" cy="2180374"/>
            <wp:docPr id="1" name="Picture 1"/>
            <wp:cNvGraphicFramePr>
              <a:graphicFrameLocks noChangeAspect="1"/>
            </wp:cNvGraphicFramePr>
            <a:graphic>
              <a:graphicData uri="http://schemas.openxmlformats.org/drawingml/2006/picture">
                <pic:pic>
                  <pic:nvPicPr>
                    <pic:cNvPr id="0" name="fig1_neuropathic_unadjusted_en.png"/>
                    <pic:cNvPicPr/>
                  </pic:nvPicPr>
                  <pic:blipFill>
                    <a:blip r:embed="rId10"/>
                    <a:stretch>
                      <a:fillRect/>
                    </a:stretch>
                  </pic:blipFill>
                  <pic:spPr>
                    <a:xfrm>
                      <a:off x="0" y="0"/>
                      <a:ext cx="5029200" cy="2180374"/>
                    </a:xfrm>
                    <a:prstGeom prst="rect"/>
                  </pic:spPr>
                </pic:pic>
              </a:graphicData>
            </a:graphic>
          </wp:inline>
        </w:drawing>
      </w:r>
    </w:p>
    <w:p>
      <w:pPr>
        <w:spacing w:before="120" w:after="240"/>
      </w:pPr>
      <w:r>
        <w:rPr>
          <w:b/>
          <w:sz w:val="20"/>
        </w:rPr>
        <w:t xml:space="preserve">Figure 1. </w:t>
      </w:r>
      <w:r>
        <w:rPr>
          <w:sz w:val="20"/>
        </w:rPr>
        <w:t>Outpatient neuropathic pain drug prescribing per surgery by prefecture. Bars are coloured by regional block. Dashed line indicates the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(r=0.87, P&lt;0.001), followed by anxiolytics (r=0.75), antidepressants (r=0.46), and herpes antivirals (r=0.19). These four confounders collectively explained 81.4% of between-prefecture variance in neuropathic pain prescribing (R²=0.814; Figure 2).</w:t>
      </w:r>
    </w:p>
    <w:p>
      <w:pPr>
        <w:spacing w:before="360" w:after="120"/>
        <w:jc w:val="center"/>
      </w:pPr>
      <w:r>
        <w:drawing>
          <wp:inline xmlns:a="http://schemas.openxmlformats.org/drawingml/2006/main" xmlns:pic="http://schemas.openxmlformats.org/drawingml/2006/picture">
            <wp:extent cx="5029200" cy="4523868"/>
            <wp:docPr id="2" name="Picture 2"/>
            <wp:cNvGraphicFramePr>
              <a:graphicFrameLocks noChangeAspect="1"/>
            </wp:cNvGraphicFramePr>
            <a:graphic>
              <a:graphicData uri="http://schemas.openxmlformats.org/drawingml/2006/picture">
                <pic:pic>
                  <pic:nvPicPr>
                    <pic:cNvPr id="0" name="fig2_confounder_correlations_en.png"/>
                    <pic:cNvPicPr/>
                  </pic:nvPicPr>
                  <pic:blipFill>
                    <a:blip r:embed="rId11"/>
                    <a:stretch>
                      <a:fillRect/>
                    </a:stretch>
                  </pic:blipFill>
                  <pic:spPr>
                    <a:xfrm>
                      <a:off x="0" y="0"/>
                      <a:ext cx="5029200" cy="4523868"/>
                    </a:xfrm>
                    <a:prstGeom prst="rect"/>
                  </pic:spPr>
                </pic:pic>
              </a:graphicData>
            </a:graphic>
          </wp:inline>
        </w:drawing>
      </w:r>
    </w:p>
    <w:p>
      <w:pPr>
        <w:spacing w:before="120" w:after="240"/>
      </w:pPr>
      <w:r>
        <w:rPr>
          <w:b/>
          <w:sz w:val="20"/>
        </w:rPr>
        <w:t xml:space="preserve">Figure 2. </w:t>
      </w:r>
      <w:r>
        <w:rPr>
          <w:sz w:val="20"/>
        </w:rPr>
        <w:t>Correlation between neuropathic pain prescribing and confounder disease proxies across 47 prefectures. Diabetes drugs show the strongest correlation (r=0.87).</w:t>
      </w:r>
    </w:p>
    <w:p>
      <w:r>
        <w:t>After adjustment for these confounders, the apparent inter-regional clustering was substantially attenuated (Table 2). Regional indicator variables that were significant in unadjusted models became nonsignificant across all model specifications (Models 2–5), indicating that confounding diseases—not regional practice differences—drove the observed pattern.</w:t>
      </w:r>
    </w:p>
    <w:p>
      <w:pPr>
        <w:spacing w:before="280"/>
      </w:pPr>
      <w:r>
        <w:rPr>
          <w:b/>
          <w:sz w:val="20"/>
        </w:rPr>
        <w:t xml:space="preserve">Table 2. </w:t>
      </w:r>
      <w:r>
        <w:rPr>
          <w:sz w:val="20"/>
        </w:rPr>
        <w:t>Regression models for outpatient neuropathic pain prescribing.</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Model</w:t>
            </w:r>
          </w:p>
        </w:tc>
        <w:tc>
          <w:tcPr>
            <w:tcW w:type="dxa" w:w="2126"/>
          </w:tcPr>
          <w:p>
            <w:r>
              <w:rPr>
                <w:b/>
                <w:sz w:val="18"/>
              </w:rPr>
              <w:t>Confounder R²</w:t>
            </w:r>
          </w:p>
        </w:tc>
        <w:tc>
          <w:tcPr>
            <w:tcW w:type="dxa" w:w="2126"/>
          </w:tcPr>
          <w:p>
            <w:r>
              <w:rPr>
                <w:b/>
                <w:sz w:val="18"/>
              </w:rPr>
              <w:t>Key statistic</w:t>
            </w:r>
          </w:p>
        </w:tc>
        <w:tc>
          <w:tcPr>
            <w:tcW w:type="dxa" w:w="2126"/>
          </w:tcPr>
          <w:p>
            <w:r>
              <w:rPr>
                <w:b/>
                <w:sz w:val="18"/>
              </w:rPr>
              <w:t>Note</w:t>
            </w:r>
          </w:p>
        </w:tc>
      </w:tr>
      <w:tr>
        <w:tc>
          <w:tcPr>
            <w:tcW w:type="dxa" w:w="2126"/>
          </w:tcPr>
          <w:p>
            <w:r>
              <w:rPr>
                <w:sz w:val="18"/>
              </w:rPr>
              <w:t>Model 1 (unadjusted)</w:t>
            </w:r>
          </w:p>
        </w:tc>
        <w:tc>
          <w:tcPr>
            <w:tcW w:type="dxa" w:w="2126"/>
          </w:tcPr>
          <w:p>
            <w:r>
              <w:rPr>
                <w:sz w:val="18"/>
              </w:rPr>
              <w:t>—</w:t>
            </w:r>
          </w:p>
        </w:tc>
        <w:tc>
          <w:tcPr>
            <w:tcW w:type="dxa" w:w="2126"/>
          </w:tcPr>
          <w:p>
            <w:r>
              <w:rPr>
                <w:sz w:val="18"/>
              </w:rPr>
              <w:t>d=2.81</w:t>
            </w:r>
          </w:p>
        </w:tc>
        <w:tc>
          <w:tcPr>
            <w:tcW w:type="dxa" w:w="2126"/>
          </w:tcPr>
          <w:p>
            <w:r>
              <w:rPr>
                <w:sz w:val="18"/>
              </w:rPr>
              <w:t>Kruskal–Wallis P&lt;0.001</w:t>
            </w:r>
          </w:p>
        </w:tc>
      </w:tr>
      <w:tr>
        <w:tc>
          <w:tcPr>
            <w:tcW w:type="dxa" w:w="2126"/>
          </w:tcPr>
          <w:p>
            <w:r>
              <w:rPr>
                <w:sz w:val="18"/>
              </w:rPr>
              <w:t>Model 2 (all confounders)</w:t>
            </w:r>
          </w:p>
        </w:tc>
        <w:tc>
          <w:tcPr>
            <w:tcW w:type="dxa" w:w="2126"/>
          </w:tcPr>
          <w:p>
            <w:r>
              <w:rPr>
                <w:sz w:val="18"/>
              </w:rPr>
              <w:t>R²=0.814</w:t>
            </w:r>
          </w:p>
        </w:tc>
        <w:tc>
          <w:tcPr>
            <w:tcW w:type="dxa" w:w="2126"/>
          </w:tcPr>
          <w:p>
            <w:r>
              <w:rPr>
                <w:sz w:val="18"/>
              </w:rPr>
              <w:t>R²=0.814</w:t>
            </w:r>
          </w:p>
        </w:tc>
        <w:tc>
          <w:tcPr>
            <w:tcW w:type="dxa" w:w="2126"/>
          </w:tcPr>
          <w:p>
            <w:r>
              <w:rPr>
                <w:sz w:val="18"/>
              </w:rPr>
              <w:t>Regional indicators NS</w:t>
            </w:r>
          </w:p>
        </w:tc>
      </w:tr>
      <w:tr>
        <w:tc>
          <w:tcPr>
            <w:tcW w:type="dxa" w:w="2126"/>
          </w:tcPr>
          <w:p>
            <w:r>
              <w:rPr>
                <w:sz w:val="18"/>
              </w:rPr>
              <w:t>Model 3 (core neuro)</w:t>
            </w:r>
          </w:p>
        </w:tc>
        <w:tc>
          <w:tcPr>
            <w:tcW w:type="dxa" w:w="2126"/>
          </w:tcPr>
          <w:p>
            <w:r>
              <w:rPr>
                <w:sz w:val="18"/>
              </w:rPr>
              <w:t>R²=0.811</w:t>
            </w:r>
          </w:p>
        </w:tc>
        <w:tc>
          <w:tcPr>
            <w:tcW w:type="dxa" w:w="2126"/>
          </w:tcPr>
          <w:p>
            <w:r>
              <w:rPr>
                <w:sz w:val="18"/>
              </w:rPr>
              <w:t>R²=0.811</w:t>
            </w:r>
          </w:p>
        </w:tc>
        <w:tc>
          <w:tcPr>
            <w:tcW w:type="dxa" w:w="2126"/>
          </w:tcPr>
          <w:p>
            <w:r>
              <w:rPr>
                <w:sz w:val="18"/>
              </w:rPr>
              <w:t>Regional indicators NS</w:t>
            </w:r>
          </w:p>
        </w:tc>
      </w:tr>
      <w:tr>
        <w:tc>
          <w:tcPr>
            <w:tcW w:type="dxa" w:w="2126"/>
          </w:tcPr>
          <w:p>
            <w:r>
              <w:rPr>
                <w:sz w:val="18"/>
              </w:rPr>
              <w:t>Model 4 (nerve blocks)</w:t>
            </w:r>
          </w:p>
        </w:tc>
        <w:tc>
          <w:tcPr>
            <w:tcW w:type="dxa" w:w="2126"/>
          </w:tcPr>
          <w:p>
            <w:r>
              <w:rPr>
                <w:sz w:val="18"/>
              </w:rPr>
              <w:t>R²=0.145</w:t>
            </w:r>
          </w:p>
        </w:tc>
        <w:tc>
          <w:tcPr>
            <w:tcW w:type="dxa" w:w="2126"/>
          </w:tcPr>
          <w:p>
            <w:r>
              <w:rPr>
                <w:sz w:val="18"/>
              </w:rPr>
              <w:t>R²=0.145</w:t>
            </w:r>
          </w:p>
        </w:tc>
        <w:tc>
          <w:tcPr>
            <w:tcW w:type="dxa" w:w="2126"/>
          </w:tcPr>
          <w:p>
            <w:r>
              <w:rPr>
                <w:sz w:val="18"/>
              </w:rPr>
              <w:t>Regional indicators NS</w:t>
            </w:r>
          </w:p>
        </w:tc>
      </w:tr>
      <w:tr>
        <w:tc>
          <w:tcPr>
            <w:tcW w:type="dxa" w:w="2126"/>
          </w:tcPr>
          <w:p>
            <w:r>
              <w:rPr>
                <w:sz w:val="18"/>
              </w:rPr>
              <w:t>Model 5 (integrated)</w:t>
            </w:r>
          </w:p>
        </w:tc>
        <w:tc>
          <w:tcPr>
            <w:tcW w:type="dxa" w:w="2126"/>
          </w:tcPr>
          <w:p>
            <w:r>
              <w:rPr>
                <w:sz w:val="18"/>
              </w:rPr>
              <w:t>R²=0.832</w:t>
            </w:r>
          </w:p>
        </w:tc>
        <w:tc>
          <w:tcPr>
            <w:tcW w:type="dxa" w:w="2126"/>
          </w:tcPr>
          <w:p>
            <w:r>
              <w:rPr>
                <w:sz w:val="18"/>
              </w:rPr>
              <w:t>Acute β=1.90, P=0.044</w:t>
            </w:r>
          </w:p>
        </w:tc>
        <w:tc>
          <w:tcPr>
            <w:tcW w:type="dxa" w:w="2126"/>
          </w:tcPr>
          <w:p>
            <w:r>
              <w:rPr>
                <w:sz w:val="18"/>
              </w:rPr>
              <w:t>Regional indicators NS</w:t>
            </w:r>
          </w:p>
        </w:tc>
      </w:tr>
    </w:tbl>
    <w:p/>
    <w:p>
      <w:r>
        <w:t>The adjusted CPSP index showed a markedly different geographic pattern from the unadjusted data (Figure 3). Regions that appeared to have high neuropathic pain prescribing in unadjusted analyses no longer showed significant excess after confounder adjustment (Kruskal–Wallis P&gt;0.05), indicating that the original clustering was driven primarily by regional differences in confounding disease burden.</w:t>
      </w:r>
    </w:p>
    <w:p>
      <w:pPr>
        <w:spacing w:before="360" w:after="120"/>
        <w:jc w:val="center"/>
      </w:pPr>
      <w:r>
        <w:drawing>
          <wp:inline xmlns:a="http://schemas.openxmlformats.org/drawingml/2006/main" xmlns:pic="http://schemas.openxmlformats.org/drawingml/2006/picture">
            <wp:extent cx="5029200" cy="2182483"/>
            <wp:docPr id="3" name="Picture 3"/>
            <wp:cNvGraphicFramePr>
              <a:graphicFrameLocks noChangeAspect="1"/>
            </wp:cNvGraphicFramePr>
            <a:graphic>
              <a:graphicData uri="http://schemas.openxmlformats.org/drawingml/2006/picture">
                <pic:pic>
                  <pic:nvPicPr>
                    <pic:cNvPr id="0" name="fig4_region_unadj_vs_adj_en.png"/>
                    <pic:cNvPicPr/>
                  </pic:nvPicPr>
                  <pic:blipFill>
                    <a:blip r:embed="rId12"/>
                    <a:stretch>
                      <a:fillRect/>
                    </a:stretch>
                  </pic:blipFill>
                  <pic:spPr>
                    <a:xfrm>
                      <a:off x="0" y="0"/>
                      <a:ext cx="5029200" cy="2182483"/>
                    </a:xfrm>
                    <a:prstGeom prst="rect"/>
                  </pic:spPr>
                </pic:pic>
              </a:graphicData>
            </a:graphic>
          </wp:inline>
        </w:drawing>
      </w:r>
    </w:p>
    <w:p>
      <w:pPr>
        <w:spacing w:before="120" w:after="240"/>
      </w:pPr>
      <w:r>
        <w:rPr>
          <w:b/>
          <w:sz w:val="20"/>
        </w:rPr>
        <w:t xml:space="preserve">Figure 3. </w:t>
      </w:r>
      <w:r>
        <w:rPr>
          <w:sz w:val="20"/>
        </w:rPr>
        <w:t>Regional comparison of neuropathic pain prescribing: (a) unadjusted and (b) after confounder adjustment. Error bars indicate SD.</w:t>
      </w:r>
    </w:p>
    <w:p>
      <w:pPr>
        <w:pStyle w:val="Heading2"/>
      </w:pPr>
      <w:r>
        <w:rPr>
          <w:rFonts w:ascii="Times New Roman" w:hAnsi="Times New Roman"/>
          <w:color w:val="000000"/>
        </w:rPr>
        <w:t>Integration of acute and chronic prescribing</w:t>
      </w:r>
    </w:p>
    <w:p>
      <w:r>
        <w:t>Acute perioperative prescribing correlated positively with unadjusted neuropathic pain prescribing (r=0.38, P=0.008). After confounder adjustment, this correlation was attenuated (r=0.29, P=0.052). In Model 5, the acute pain index remained a significant predictor (β=1.90, P=0.044), while regional indicators were nonsignificant after confounder adjustment.</w:t>
      </w:r>
    </w:p>
    <w:p>
      <w:pPr>
        <w:pStyle w:val="Heading2"/>
      </w:pPr>
      <w:r>
        <w:rPr>
          <w:rFonts w:ascii="Times New Roman" w:hAnsi="Times New Roman"/>
          <w:color w:val="000000"/>
        </w:rPr>
        <w:t>Age-sex standardised claim ratios</w:t>
      </w:r>
    </w:p>
    <w:p>
      <w:r>
        <w:t>After indirect age-sex standardisation, inpatient analgesic SCR ranged from 63.6 to 147.9 (2.3-fold variation), confirming that prescribing heterogeneity was not attributable to differences in prefectural age-sex composition. Outpatient neuropathic pain drug SCR ranged from 74.7 to 152.0 (2.0-fold).</w:t>
      </w:r>
    </w:p>
    <w:p>
      <w:pPr>
        <w:pStyle w:val="Heading1"/>
      </w:pPr>
      <w:r>
        <w:rPr>
          <w:rFonts w:ascii="Times New Roman" w:hAnsi="Times New Roman"/>
          <w:color w:val="000000"/>
        </w:rPr>
        <w:t>Discussion</w:t>
      </w:r>
    </w:p>
    <w:p>
      <w:r>
        <w:t>This study is the first to map perioperative and chronic pain-related prescribing across all 47 prefectures of Japan using the population-complete NDB Open Data. Three principal findings emerged.</w:t>
      </w:r>
    </w:p>
    <w:p>
      <w:pPr>
        <w:pStyle w:val="Heading2"/>
      </w:pPr>
      <w:r>
        <w:rPr>
          <w:rFonts w:ascii="Times New Roman" w:hAnsi="Times New Roman"/>
          <w:color w:val="000000"/>
        </w:rPr>
        <w:t>Principal findings</w:t>
      </w:r>
    </w:p>
    <w:p>
      <w:r>
        <w:t>First, acute perioperative analgesic prescribing varied 1.97-fold across prefectures—comparable to the regional variation in dental care utilisation reported by Taira et al</w:t>
      </w:r>
      <w:r>
        <w:rPr>
          <w:sz w:val="20"/>
          <w:vertAlign w:val="superscript"/>
        </w:rPr>
        <w:t>2</w:t>
      </w:r>
      <w:r>
        <w:t xml:space="preserve"> and consistent with the supply-sensitive variation pattern described by Wennberg.</w:t>
      </w:r>
      <w:r>
        <w:rPr>
          <w:sz w:val="20"/>
          <w:vertAlign w:val="superscript"/>
        </w:rPr>
        <w:t>1</w:t>
      </w:r>
      <w:r>
        <w:t xml:space="preserve"> This variation was robust: it persisted after age-sex standardisation (SCR range, 64–148) and was consistent across all three analgesic drug classes.</w:t>
      </w:r>
    </w:p>
    <w:p>
      <w:r>
        <w:t>Second, the most methodologically important finding is that the marked regional clustering in neuropathic pain prescribing was largely explained by confounding disease proxies, particularly diabetes drug prescribing (r=0.87). After adjustment, apparent inter-regional differences were substantially attenuated and became nonsignificant across all model specifications. This has important implications: ecological studies using neuropathic pain drugs as a chronic pain proxy must account for diabetic neuropathy. Without such adjustment, regional differences in diabetes prevalence will be misattributed to differences in pain management practice.</w:t>
      </w:r>
    </w:p>
    <w:p>
      <w:r>
        <w:t>Third, the positive correlation between acute and confounder-adjusted chronic indices (r=0.29, P=0.052) and the significant acute pain predictor in Model 5 (β=1.90, P=0.044) suggest a modest link between regional acute pain management intensity and subsequent chronic pain-related prescribing. This is consistent with individual-level evidence that acute postoperative pain intensity is a risk factor for CPSP.</w:t>
      </w:r>
      <w:r>
        <w:rPr>
          <w:sz w:val="20"/>
          <w:vertAlign w:val="superscript"/>
        </w:rPr>
        <w:t>8</w:t>
      </w:r>
      <w:r/>
    </w:p>
    <w:p>
      <w:pPr>
        <w:pStyle w:val="Heading2"/>
      </w:pPr>
      <w:r>
        <w:rPr>
          <w:rFonts w:ascii="Times New Roman" w:hAnsi="Times New Roman"/>
          <w:color w:val="000000"/>
        </w:rPr>
        <w:t>Clinical implications</w:t>
      </w:r>
    </w:p>
    <w:p>
      <w:r>
        <w:t>The 1.97-fold within-Japan variation has broader implications beyond descriptive epidemiology. A large body of evidence demonstrates that cultural stereotypes influence clinician pain assessment and prescribing behaviour internationally: Anderson et al showed systematic disparities in pain management across racial and ethnic groups,</w:t>
      </w:r>
      <w:r>
        <w:rPr>
          <w:sz w:val="20"/>
          <w:vertAlign w:val="superscript"/>
        </w:rPr>
        <w:t>13</w:t>
      </w:r>
      <w:r>
        <w:t xml:space="preserve"> and Campbell and Edwards identified that clinician expectations about cultural pain behaviour can lead to systematic under- or over-treatment.</w:t>
      </w:r>
      <w:r>
        <w:rPr>
          <w:sz w:val="20"/>
          <w:vertAlign w:val="superscript"/>
        </w:rPr>
        <w:t>14</w:t>
      </w:r>
      <w:r>
        <w:t xml:space="preserve"> Japan is often characterised as culturally homogeneous with patients who are stoic about pain.</w:t>
      </w:r>
      <w:r>
        <w:rPr>
          <w:sz w:val="20"/>
          <w:vertAlign w:val="superscript"/>
        </w:rPr>
        <w:t>11,12</w:t>
      </w:r>
      <w:r>
        <w:t xml:space="preserve"> Yet our data demonstrate that even within this putatively uniform population, prescribing patterns vary nearly twofold—a degree of heterogeneity that makes any national-level characterisation clinically misleading. The Pfizer Japan 2017 survey similarly found that the proportion of chronic pain patients "enduring pain without seeking treatment" ranged from 48.7% to 81.6% across prefectures.</w:t>
      </w:r>
      <w:r>
        <w:rPr>
          <w:sz w:val="20"/>
          <w:vertAlign w:val="superscript"/>
        </w:rPr>
        <w:t>9</w:t>
      </w:r>
      <w:r/>
    </w:p>
    <w:p>
      <w:r>
        <w:t>The revised IASP definition describes pain as inherently subjective.</w:t>
      </w:r>
      <w:r>
        <w:rPr>
          <w:sz w:val="20"/>
          <w:vertAlign w:val="superscript"/>
        </w:rPr>
        <w:t>15</w:t>
      </w:r>
      <w:r>
        <w:t xml:space="preserve"> No regional label or cultural generalisation can substitute for individualised pain assessment. Objective nociception monitoring may help standardise perioperative assessment.</w:t>
      </w:r>
      <w:r>
        <w:rPr>
          <w:sz w:val="20"/>
          <w:vertAlign w:val="superscript"/>
        </w:rPr>
        <w:t>17</w:t>
      </w:r>
      <w:r/>
    </w:p>
    <w:p>
      <w:pPr>
        <w:pStyle w:val="Heading2"/>
      </w:pPr>
      <w:r>
        <w:rPr>
          <w:rFonts w:ascii="Times New Roman" w:hAnsi="Times New Roman"/>
          <w:color w:val="000000"/>
        </w:rPr>
        <w:t>Strengths and limitations</w:t>
      </w:r>
    </w:p>
    <w:p>
      <w:r>
        <w:t>Strengths include the use of population-complete data covering all insurance-reimbursed healthcare in Japan, the novel integration of acute and chronic pain proxies, the transparent confounder-adjustment methodology, and a perioperative design that neutralises healthcare access as a confounder.</w:t>
      </w:r>
    </w:p>
    <w:p>
      <w:r>
        <w:t>Limitations are inherent to the ecological design. The unit of analysis is the prefecture, not the individual; ecological correlations may not reflect individual-level associations. NDB Open Data lack diagnosis codes, so the neuropathic pain drug proxy captures all indications, not CPSP specifically. Unmeasured confounders including surgical case mix and physician density may contribute to residual variation.</w:t>
      </w:r>
    </w:p>
    <w:p>
      <w:pPr>
        <w:pStyle w:val="Heading2"/>
      </w:pPr>
      <w:r>
        <w:rPr>
          <w:rFonts w:ascii="Times New Roman" w:hAnsi="Times New Roman"/>
          <w:color w:val="000000"/>
        </w:rPr>
        <w:t>Conclusion</w:t>
      </w:r>
    </w:p>
    <w:p>
      <w:r>
        <w:t>Pain-related prescribing varies nearly twofold across Japan's 47 prefectures, persisting after age-sex standardisation. Confounding diseases—particularly diabetes—substantially modify the apparent regional pattern of neuropathic pain prescribing and must be accounted for in ecological studies. Clinicians should base analgesic decisions on individual assessment rather than regional or cultural assumptions.</w:t>
      </w:r>
    </w:p>
    <w:p/>
    <w:p>
      <w:pPr>
        <w:pStyle w:val="Heading1"/>
      </w:pPr>
      <w:r>
        <w:rPr>
          <w:rFonts w:ascii="Times New Roman" w:hAnsi="Times New Roman"/>
          <w:color w:val="000000"/>
        </w:rPr>
        <w:t>Acknowledgements</w:t>
      </w:r>
    </w:p>
    <w:p>
      <w:r>
        <w:t>The author thanks the Ministry of Health, Labour and Welfare for making the NDB Open Data publicly available.</w:t>
      </w:r>
    </w:p>
    <w:p>
      <w:r>
        <w:rPr>
          <w:b/>
        </w:rPr>
        <w:t xml:space="preserve">Use of AI: </w:t>
      </w:r>
      <w:r>
        <w:t>Parts of data processing and manuscript preparation were assisted by generative AI (Claude, Anthropic). The author takes full responsibility for the accuracy and content of the manuscript.</w:t>
      </w:r>
    </w:p>
    <w:p>
      <w:r>
        <w:rPr>
          <w:b/>
        </w:rPr>
        <w:t xml:space="preserve">Conflicts of interest: </w:t>
      </w:r>
      <w:r>
        <w:t>The author declares no conflict of interest with respect to this research study and paper.</w:t>
      </w:r>
    </w:p>
    <w:p/>
    <w:p>
      <w:pPr>
        <w:pStyle w:val="Heading1"/>
      </w:pPr>
      <w:r>
        <w:rPr>
          <w:rFonts w:ascii="Times New Roman" w:hAnsi="Times New Roman"/>
          <w:color w:val="000000"/>
        </w:rPr>
        <w:t>Funding</w:t>
      </w:r>
    </w:p>
    <w:p>
      <w:r>
        <w:t>This research did not receive any specific grant from funding agencies in the public, commercial, or not-for-profit sectors.</w:t>
      </w:r>
    </w:p>
    <w:p/>
    <w:p>
      <w:pPr>
        <w:pStyle w:val="Heading1"/>
      </w:pPr>
      <w:r>
        <w:rPr>
          <w:rFonts w:ascii="Times New Roman" w:hAnsi="Times New Roman"/>
          <w:color w:val="000000"/>
        </w:rPr>
        <w:t>Contributors</w:t>
      </w:r>
    </w:p>
    <w:p>
      <w:r>
        <w:t>TO: Conceptualization, Data curation, Formal analysis, Investigation, Methodology, Software, Visualization, Writing – original draft, Writing – review &amp; editing.</w:t>
      </w:r>
    </w:p>
    <w:p/>
    <w:p>
      <w:pPr>
        <w:pStyle w:val="Heading1"/>
      </w:pPr>
      <w:r>
        <w:rPr>
          <w:rFonts w:ascii="Times New Roman" w:hAnsi="Times New Roman"/>
          <w:color w:val="000000"/>
        </w:rPr>
        <w:t>Data Availability</w:t>
      </w:r>
    </w:p>
    <w:p>
      <w:r>
        <w:t>Data derived from a source in the public domain. The NDB Open Data used in this study are publicly available from the Ministry of Health, Labour and Welfare website (https://www.mhlw.go.jp/stf/seisakunitsuite/bunya/0000177221_00016.html). Analysis code is available at https://github.com/bougtoir/ndb-pain-regional-variation-japan.</w:t>
      </w:r>
    </w:p>
    <w:p>
      <w:r>
        <w:br w:type="page"/>
      </w:r>
    </w:p>
    <w:p>
      <w:pPr>
        <w:pStyle w:val="Heading1"/>
      </w:pPr>
      <w:r>
        <w:rPr>
          <w:rFonts w:ascii="Times New Roman" w:hAnsi="Times New Roman"/>
          <w:color w:val="000000"/>
        </w:rPr>
        <w:t>References</w:t>
      </w:r>
    </w:p>
    <w:p>
      <w:r>
        <w:rPr>
          <w:b/>
        </w:rPr>
        <w:t xml:space="preserve">1. </w:t>
      </w:r>
      <w:r>
        <w:t>Wennberg JE. Tracking Medicine: A Researcher's Quest to Understand Health Care. New York, NY: Oxford University Press; 2010.</w:t>
      </w:r>
    </w:p>
    <w:p>
      <w:r>
        <w:rPr>
          <w:b/>
        </w:rPr>
        <w:t xml:space="preserve">2. </w:t>
      </w:r>
      <w:r>
        <w:t>Taira K, Mori T, Ishimaru M, et al. Regional inequality in dental care utilisation in Japan: an ecological study using the National Database of Health Insurance Claims. Lancet Reg Health West Pac. 2021;12:100170. doi:10.1016/j.lanwpc.2021.100170</w:t>
      </w:r>
    </w:p>
    <w:p>
      <w:r>
        <w:rPr>
          <w:b/>
        </w:rPr>
        <w:t xml:space="preserve">3. </w:t>
      </w:r>
      <w:r>
        <w:t>Ministry of Health, Labour and Welfare. NDB Open Data, 10th edition. https://www.mhlw.go.jp/stf/seisakunitsuite/bunya/0000177221_00016.html. Accessed January 15, 2025.</w:t>
      </w:r>
    </w:p>
    <w:p>
      <w:r>
        <w:rPr>
          <w:b/>
        </w:rPr>
        <w:t xml:space="preserve">4. </w:t>
      </w:r>
      <w:r>
        <w:t>Wakaizumi K, Tanaka C, Shinohara Y, et al. Geographical variation in high-impact chronic pain and psychological associations at the regional level: a multilevel analysis of a large-scale internet-based cross-sectional survey. Front Public Health. 2024;12:1482177. doi:10.3389/fpubh.2024.1482177</w:t>
      </w:r>
    </w:p>
    <w:p>
      <w:r>
        <w:rPr>
          <w:b/>
        </w:rPr>
        <w:t xml:space="preserve">5. </w:t>
      </w:r>
      <w:r>
        <w:t>Matsuoka Y, Morishima T, Sato A, et al. Population-based claims study of regional and hospital function differences in opioid prescribing for cancer patients who died in hospital in Japan. Jpn J Clin Oncol. 2025;55:hyaf149.</w:t>
      </w:r>
    </w:p>
    <w:p>
      <w:r>
        <w:rPr>
          <w:b/>
        </w:rPr>
        <w:t xml:space="preserve">6. </w:t>
      </w:r>
      <w:r>
        <w:t>von Elm E, Altman DG, Egger M, et al. The Strengthening the Reporting of Observational Studies in Epidemiology (STROBE) statement: guidelines for reporting observational studies. Lancet. 2007;370:1453–7. doi:10.1016/S0140-6736(07)61602-X</w:t>
      </w:r>
    </w:p>
    <w:p>
      <w:r>
        <w:rPr>
          <w:b/>
        </w:rPr>
        <w:t xml:space="preserve">7. </w:t>
      </w:r>
      <w:r>
        <w:t>Benchimol EI, Smeeth L, Guttmann A, et al. The REporting of studies Conducted using Observational Routinely-collected health Data (RECORD) statement. PLoS Med. 2015;12:e1001885. doi:10.1371/journal.pmed.1001885</w:t>
      </w:r>
    </w:p>
    <w:p>
      <w:r>
        <w:rPr>
          <w:b/>
        </w:rPr>
        <w:t xml:space="preserve">8. </w:t>
      </w:r>
      <w:r>
        <w:t>Kehlet H, Jensen TS, Woolf CJ. Persistent postsurgical pain: risk factors and prevention. Lancet. 2006;367:1618–25. doi:10.1016/S0140-6736(06)68700-X</w:t>
      </w:r>
    </w:p>
    <w:p>
      <w:r>
        <w:rPr>
          <w:b/>
        </w:rPr>
        <w:t xml:space="preserve">9. </w:t>
      </w:r>
      <w:r>
        <w:t>Pfizer Japan Inc. 47-prefecture survey on chronic pain. https://www.pfizer.co.jp/pfizer/company/press/2017. Accessed February 1, 2025.</w:t>
      </w:r>
    </w:p>
    <w:p>
      <w:r>
        <w:rPr>
          <w:b/>
        </w:rPr>
        <w:t xml:space="preserve">10. </w:t>
      </w:r>
      <w:r>
        <w:t>Ministry of Health, Labour and Welfare. Comprehensive Survey of Living Conditions (Kokumin Seikatsu Kiso Chousa), 2022. https://www.mhlw.go.jp/toukei/saikin/hw/k-tyosa/k-tyosa22/. Accessed March 1, 2025.</w:t>
      </w:r>
    </w:p>
    <w:p>
      <w:r>
        <w:rPr>
          <w:b/>
        </w:rPr>
        <w:t xml:space="preserve">11. </w:t>
      </w:r>
      <w:r>
        <w:t>Callister LC. Cultural influences on pain perceptions and behaviors. Home Health Care Manag Pract. 2003;15:207–11. doi:10.1177/1084822303015004003</w:t>
      </w:r>
    </w:p>
    <w:p>
      <w:r>
        <w:rPr>
          <w:b/>
        </w:rPr>
        <w:t xml:space="preserve">12. </w:t>
      </w:r>
      <w:r>
        <w:t>Hobara M. Beliefs about appropriate pain behavior: cross-cultural and sex differences between Japanese and Euro-Americans. Eur J Pain. 2005;9:389–93. doi:10.1016/j.ejpain.2004.09.006</w:t>
      </w:r>
    </w:p>
    <w:p>
      <w:r>
        <w:rPr>
          <w:b/>
        </w:rPr>
        <w:t xml:space="preserve">13. </w:t>
      </w:r>
      <w:r>
        <w:t>Anderson KO, Green CR, Payne R. Racial and ethnic disparities in pain: causes and consequences of unequal care. J Pain. 2009;10:1187–204. doi:10.1016/j.jpain.2009.06.010</w:t>
      </w:r>
    </w:p>
    <w:p>
      <w:r>
        <w:rPr>
          <w:b/>
        </w:rPr>
        <w:t xml:space="preserve">14. </w:t>
      </w:r>
      <w:r>
        <w:t>Campbell CM, Edwards RR. Ethnic differences in pain and pain management. Pain Manag. 2012;2:219–30. doi:10.2217/pmt.12.7</w:t>
      </w:r>
    </w:p>
    <w:p>
      <w:r>
        <w:rPr>
          <w:b/>
        </w:rPr>
        <w:t xml:space="preserve">15. </w:t>
      </w:r>
      <w:r>
        <w:t>Raja SN, Carr DB, Cohen M, et al. The revised International Association for the Study of Pain definition of pain: concepts, challenges, and compromises. Pain. 2020;161:1976–82. doi:10.1097/j.pain.0000000000001939</w:t>
      </w:r>
    </w:p>
    <w:p>
      <w:r>
        <w:rPr>
          <w:b/>
        </w:rPr>
        <w:t xml:space="preserve">16. </w:t>
      </w:r>
      <w:r>
        <w:t>Corallo AN, Croxford R, Goodman DC, Bryan EL, Srivastava D, Stukel TA. A systematic review of medical practice variation in OECD countries. Health Policy. 2014;114:5–14. doi:10.1016/j.healthpol.2013.08.002</w:t>
      </w:r>
    </w:p>
    <w:p>
      <w:r>
        <w:rPr>
          <w:b/>
        </w:rPr>
        <w:t xml:space="preserve">17. </w:t>
      </w:r>
      <w:r>
        <w:t>Onishi T, Onishi Y. Normalized pulse volume as a superior predictor of respiration recovery and quantification of nociception anti-nociception balance compared to opioid effect site concentration: a prospective, observational study. F1000Research. 2024;13:233. doi:10.12688/f1000research.147085.2</w:t>
      </w:r>
    </w:p>
    <w:p>
      <w:r>
        <w:br w:type="page"/>
      </w:r>
    </w:p>
    <w:p>
      <w:pPr>
        <w:pStyle w:val="Heading1"/>
      </w:pPr>
      <w:r>
        <w:rPr>
          <w:rFonts w:ascii="Times New Roman" w:hAnsi="Times New Roman"/>
          <w:color w:val="000000"/>
        </w:rPr>
        <w:t>Figure Legends</w:t>
      </w:r>
    </w:p>
    <w:p>
      <w:r>
        <w:rPr>
          <w:b/>
          <w:sz w:val="22"/>
        </w:rPr>
        <w:t xml:space="preserve">Figure 1. </w:t>
      </w:r>
      <w:r>
        <w:rPr>
          <w:sz w:val="22"/>
        </w:rPr>
        <w:t>Outpatient neuropathic pain drug prescribing per surgery by prefecture. Bars represent individual prefectures ordered by prescribing index. Bars are coloured by regional block. Dashed line indicates the national mean.</w:t>
      </w:r>
    </w:p>
    <w:p>
      <w:r>
        <w:rPr>
          <w:b/>
          <w:sz w:val="22"/>
        </w:rPr>
        <w:t xml:space="preserve">Figure 2. </w:t>
      </w:r>
      <w:r>
        <w:rPr>
          <w:sz w:val="22"/>
        </w:rPr>
        <w:t>Correlation between neuropathic pain prescribing and confounder disease proxies across 47 prefectures. Each dot represents one prefecture. Diabetes drugs show the strongest correlation (r=0.87).</w:t>
      </w:r>
    </w:p>
    <w:p>
      <w:r>
        <w:rPr>
          <w:b/>
          <w:sz w:val="22"/>
        </w:rPr>
        <w:t xml:space="preserve">Figure 3. </w:t>
      </w:r>
      <w:r>
        <w:rPr>
          <w:sz w:val="22"/>
        </w:rPr>
        <w:t>Regional comparison of neuropathic pain prescribing: (a) unadjusted and (b) after adjustment for confounding disease proxies. Error bars indicate SD.</w:t>
      </w:r>
    </w:p>
    <w:sectPr w:rsidR="00FC693F" w:rsidRPr="0006063C" w:rsidSect="00034616">
      <w:footerReference w:type="default" r:id="rId9"/>
      <w:pgSz w:w="11906" w:h="16838"/>
      <w:pgMar w:top="1440" w:right="1701" w:bottom="1440" w:left="1701"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