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6699"/>
          <w:sz w:val="24"/>
        </w:rPr>
        <w:t>Perspective</w:t>
      </w:r>
    </w:p>
    <w:p>
      <w:pPr>
        <w:spacing w:after="360" w:before="0" w:line="276" w:lineRule="auto"/>
        <w:jc w:val="both"/>
      </w:pPr>
      <w:r>
        <w:rPr>
          <w:b/>
          <w:sz w:val="36"/>
        </w:rPr>
        <w:t>The Invisible Variables: How Uncontrolled Environmental Factors Shape Pluripotent Stem Cell Differentiation Outcomes</w:t>
      </w:r>
    </w:p>
    <w:p>
      <w:pPr>
        <w:spacing w:after="120" w:before="0" w:line="276" w:lineRule="auto"/>
        <w:jc w:val="both"/>
      </w:pPr>
      <w:r>
        <w:rPr>
          <w:sz w:val="24"/>
        </w:rPr>
        <w:t>Tatsuki Onishi</w:t>
      </w:r>
      <w:r>
        <w:rPr>
          <w:sz w:val="18"/>
          <w:vertAlign w:val="superscript"/>
        </w:rPr>
        <w:t>{1,*}</w:t>
      </w:r>
    </w:p>
    <w:p>
      <w:pPr>
        <w:spacing w:after="60" w:before="0" w:line="276" w:lineRule="auto"/>
        <w:jc w:val="both"/>
      </w:pPr>
      <w:r>
        <w:rPr>
          <w:sz w:val="22"/>
        </w:rPr>
      </w:r>
      <w:r>
        <w:rPr>
          <w:sz w:val="18"/>
          <w:vertAlign w:val="superscript"/>
        </w:rPr>
        <w:t>1</w:t>
      </w:r>
      <w:r>
        <w:rPr>
          <w:sz w:val="22"/>
        </w:rPr>
        <w:t>[Affiliation to be added]</w:t>
      </w:r>
    </w:p>
    <w:p>
      <w:pPr>
        <w:spacing w:after="360" w:before="0" w:line="276" w:lineRule="auto"/>
        <w:jc w:val="both"/>
      </w:pPr>
      <w:r>
        <w:rPr>
          <w:i/>
          <w:sz w:val="20"/>
        </w:rPr>
        <w:t>*Correspondence: [email to be added]</w:t>
      </w:r>
    </w:p>
    <w:p>
      <w:pPr>
        <w:pStyle w:val="Heading2"/>
      </w:pPr>
      <w:r>
        <w:rPr>
          <w:color w:val="000000"/>
        </w:rPr>
        <w:t>Highlights</w:t>
      </w:r>
    </w:p>
    <w:p>
      <w:pPr>
        <w:pStyle w:val="ListBullet"/>
      </w:pPr>
      <w:r>
        <w:rPr>
          <w:sz w:val="20"/>
        </w:rPr>
        <w:t>Stem cell labs control temperature and CO2 but neglect humidity, light, and EMF</w:t>
      </w:r>
    </w:p>
    <w:p>
      <w:pPr>
        <w:pStyle w:val="ListBullet"/>
      </w:pPr>
      <w:r>
        <w:rPr>
          <w:sz w:val="20"/>
        </w:rPr>
        <w:t>IVF data show 30% better outcomes from summer-collected oocytes globally</w:t>
      </w:r>
    </w:p>
    <w:p>
      <w:pPr>
        <w:pStyle w:val="ListBullet"/>
      </w:pPr>
      <w:r>
        <w:rPr>
          <w:sz w:val="20"/>
        </w:rPr>
        <w:t>Circadian gene CRY1 links environmental light cycles to reprogramming</w:t>
      </w:r>
    </w:p>
    <w:p>
      <w:pPr>
        <w:pStyle w:val="ListBullet"/>
      </w:pPr>
      <w:r>
        <w:rPr>
          <w:sz w:val="20"/>
        </w:rPr>
        <w:t>Systematic environmental profiling could transform differentiation protocols</w:t>
      </w:r>
    </w:p>
    <w:p>
      <w:pPr>
        <w:pStyle w:val="Heading2"/>
      </w:pPr>
      <w:r>
        <w:rPr>
          <w:color w:val="000000"/>
        </w:rPr>
        <w:t>eTOC Blurb</w:t>
      </w:r>
    </w:p>
    <w:p>
      <w:pPr>
        <w:spacing w:after="240" w:before="0" w:line="276" w:lineRule="auto"/>
        <w:jc w:val="both"/>
      </w:pPr>
      <w:r>
        <w:rPr>
          <w:i/>
          <w:sz w:val="20"/>
        </w:rPr>
        <w:t>Onishi argues that uncontrolled environmental variables—humidity, photoperiod, volatile organic compounds, electromagnetic fields, and cosmic radiation—exhibit seasonal patterns that may systematically bias pluripotent stem cell differentiation outcomes. Drawing on IVF data, circadian biology, and environmental monitoring studies, this Perspective proposes a framework for cataloguing and controlling these hidden variables to improve reproducibility in stem cell research.</w:t>
      </w:r>
    </w:p>
    <w:p>
      <w:pPr>
        <w:pStyle w:val="Heading2"/>
      </w:pPr>
      <w:r>
        <w:rPr>
          <w:color w:val="000000"/>
        </w:rPr>
        <w:t>Summary</w:t>
      </w:r>
    </w:p>
    <w:p>
      <w:pPr>
        <w:spacing w:after="120" w:before="0" w:line="360" w:lineRule="auto"/>
        <w:jc w:val="both"/>
      </w:pPr>
      <w:r>
        <w:rPr>
          <w:sz w:val="22"/>
        </w:rPr>
        <w:t>Despite decades of progress in directed differentiation of human pluripotent stem cells (PSCs), reproducibility remains a persistent challenge. Inter-laboratory variability is widely documented but poorly understood, with most investigations focusing on genetic background, passage number, and protocol differences. Here, I argue that a critical class of explanatory variables has been systematically overlooked: environmental factors that fluctuate seasonally yet remain uncontrolled in standard cell culture facilities. These include laboratory humidity, ambient photoperiod, volatile organic compounds, extremely low-frequency electromagnetic fields, barometric pressure, and background ionizing radiation. Evidence from assisted reproduction—where summer-collected oocytes yield 30% higher live birth rates—and from circadian biology—where the clock gene CRY1 directly regulates reprogramming efficiency—converges to suggest that these "invisible variables" may constitute a significant and correctable source of noise. I propose a systematic framework for environmental profiling of stem cell facilities and outline data-driven strategies to identify and control the most impactful factors.</w:t>
      </w:r>
    </w:p>
    <w:p>
      <w:r>
        <w:br w:type="page"/>
      </w:r>
    </w:p>
    <w:p>
      <w:pPr>
        <w:pStyle w:val="Heading2"/>
      </w:pPr>
      <w:r>
        <w:rPr>
          <w:color w:val="000000"/>
        </w:rPr>
        <w:t>The Reproducibility Paradox in PSC Differentiation</w:t>
      </w:r>
    </w:p>
    <w:p>
      <w:pPr>
        <w:spacing w:after="120" w:before="0" w:line="360" w:lineRule="auto"/>
        <w:jc w:val="both"/>
      </w:pPr>
      <w:r>
        <w:rPr>
          <w:sz w:val="22"/>
        </w:rPr>
        <w:t>The promise of pluripotent stem cell (PSC) technology—from disease modeling to cell replacement therapy—rests on the assumption that differentiation protocols can be standardized and reliably reproduced.</w:t>
      </w:r>
      <w:r>
        <w:rPr>
          <w:sz w:val="18"/>
          <w:vertAlign w:val="superscript"/>
        </w:rPr>
        <w:t>1,2</w:t>
      </w:r>
      <w:r>
        <w:rPr>
          <w:sz w:val="22"/>
        </w:rPr>
        <w:t xml:space="preserve"> Yet the field's dirty secret is that they often cannot. A landmark multi-site study of iPSC-derived cortical neuron differentiation found that the laboratory of origin explained 40–60% of the total variance in gene expression, dwarfing the contribution of genetic background.</w:t>
      </w:r>
      <w:r>
        <w:rPr>
          <w:sz w:val="18"/>
          <w:vertAlign w:val="superscript"/>
        </w:rPr>
        <w:t>3</w:t>
      </w:r>
      <w:r>
        <w:rPr>
          <w:sz w:val="22"/>
        </w:rPr>
        <w:t xml:space="preserve"> Guidelines for reducing iPSC variability have focused on donor selection, passage control, and protocol standardization,</w:t>
      </w:r>
      <w:r>
        <w:rPr>
          <w:sz w:val="18"/>
          <w:vertAlign w:val="superscript"/>
        </w:rPr>
        <w:t>4,5</w:t>
      </w:r>
      <w:r>
        <w:rPr>
          <w:sz w:val="22"/>
        </w:rPr>
        <w:t xml:space="preserve"> but even within a single laboratory using the same cell line and protocol, batch-to-batch variability can be substantial and seemingly stochastic.</w:t>
      </w:r>
    </w:p>
    <w:p>
      <w:pPr>
        <w:spacing w:after="120" w:before="0" w:line="360" w:lineRule="auto"/>
        <w:jc w:val="both"/>
      </w:pPr>
      <w:r>
        <w:rPr>
          <w:sz w:val="22"/>
        </w:rPr>
        <w:t>What if this "stochastic" variation is not random at all, but instead reflects the influence of environmental variables that laboratories neither measure nor control? In this Perspective, I catalogue the environmental factors that exhibit seasonal periodicity, review the evidence that they affect cellular behavior, and argue that their systematic control represents a largely untapped opportunity to improve reproducibility in PSC-based research and manufacturing.</w:t>
      </w:r>
    </w:p>
    <w:p>
      <w:pPr>
        <w:pStyle w:val="Heading2"/>
      </w:pPr>
      <w:r>
        <w:rPr>
          <w:color w:val="000000"/>
        </w:rPr>
        <w:t>From Artisanal Bakeries to Cell Factories: A Lesson in Environmental Control</w:t>
      </w:r>
    </w:p>
    <w:p>
      <w:pPr>
        <w:spacing w:after="120" w:before="0" w:line="360" w:lineRule="auto"/>
        <w:jc w:val="both"/>
      </w:pPr>
      <w:r>
        <w:rPr>
          <w:sz w:val="22"/>
        </w:rPr>
        <w:t>An illuminating parallel exists in the history of industrial baking. Traditional bakeries were artisanal operations where bread quality depended on the craftsman's intuition—adjusting hydration, kneading time, and proofing duration based on the day's feel. The revolution came when industrial bakery chains recognized that the key to consistent product quality lay not in better recipes but in environmental control: temperature, humidity, and airflow in proofing chambers were precisely regulated, enabling unskilled operators to produce consistent results using standardized protocols. The "recipe" did not change; the environment did.</w:t>
      </w:r>
    </w:p>
    <w:p>
      <w:pPr>
        <w:spacing w:after="120" w:before="0" w:line="360" w:lineRule="auto"/>
        <w:jc w:val="both"/>
      </w:pPr>
      <w:r>
        <w:rPr>
          <w:sz w:val="22"/>
        </w:rPr>
        <w:t>Today's stem cell laboratories find themselves at a similar inflection point. A typical cell culture facility controls exactly two environmental parameters: incubator temperature (37°C) and CO2 concentration (5%). Everything else—humidity, ambient light, electromagnetic fields, air quality, barometric pressure—is left to the mercy of the building, the season, and the weather. For robust cell lines grown in short-term culture, this may be inconsequential. But for PSC differentiation—a process that unfolds over days to weeks, involves delicate signaling cascades, and requires cells to traverse multiple fate decisions—the accumulated impact of these uncontrolled variables may be far from negligible.</w:t>
      </w:r>
    </w:p>
    <w:p>
      <w:pPr>
        <w:pStyle w:val="Heading2"/>
      </w:pPr>
      <w:r>
        <w:rPr>
          <w:color w:val="000000"/>
        </w:rPr>
        <w:t>Seasonality in Embryo Development: Evidence from Assisted Reproduction</w:t>
      </w:r>
    </w:p>
    <w:p>
      <w:pPr>
        <w:spacing w:after="120" w:before="0" w:line="360" w:lineRule="auto"/>
        <w:jc w:val="both"/>
      </w:pPr>
      <w:r>
        <w:rPr>
          <w:sz w:val="22"/>
        </w:rPr>
        <w:t>The most compelling evidence that seasonality affects early cell fate decisions comes not from stem cell biology but from assisted reproduction. In a pivotal 1992 study, Suzuki and colleagues demonstrated that mouse preimplantation embryos cultured in vitro during the summer months exhibited a pronounced "two-cell block"—a developmental arrest at the two-cell stage—that was absent in winter.</w:t>
      </w:r>
      <w:r>
        <w:rPr>
          <w:sz w:val="18"/>
          <w:vertAlign w:val="superscript"/>
        </w:rPr>
        <w:t>6</w:t>
      </w:r>
      <w:r>
        <w:rPr>
          <w:sz w:val="22"/>
        </w:rPr>
        <w:t xml:space="preserve"> Cleavage from the two-cell to the four-cell stage was also significantly delayed in summer. These experiments were conducted under standard laboratory conditions with controlled incubator temperature, implicating uncontrolled environmental variables as the causal agents.</w:t>
      </w:r>
    </w:p>
    <w:p>
      <w:pPr>
        <w:spacing w:after="120" w:before="0" w:line="360" w:lineRule="auto"/>
        <w:jc w:val="both"/>
      </w:pPr>
      <w:r>
        <w:rPr>
          <w:sz w:val="22"/>
        </w:rPr>
        <w:t>In human assisted reproduction, seasonality has been investigated more extensively. A large Australian retrospective study (n = 3,659 frozen embryo transfers) found that oocytes retrieved in summer yielded a 30% increase in live birth rates compared to those retrieved in autumn (OR ~1.30), and that this effect correlated with sunshine duration at the time of retrieval.</w:t>
      </w:r>
      <w:r>
        <w:rPr>
          <w:sz w:val="18"/>
          <w:vertAlign w:val="superscript"/>
        </w:rPr>
        <w:t>7</w:t>
      </w:r>
      <w:r>
        <w:rPr>
          <w:sz w:val="22"/>
        </w:rPr>
        <w:t xml:space="preserve"> Critically, the season at embryo transfer had no effect—the seasonal imprint was determined at the point of oocyte collection, suggesting an effect on gamete quality rather than uterine receptivity. Studies from China have similarly reported higher clinical pregnancy rates in spring and summer, with a non-linear temperature optimum around 26–30°C.</w:t>
      </w:r>
      <w:r>
        <w:rPr>
          <w:sz w:val="18"/>
          <w:vertAlign w:val="superscript"/>
        </w:rPr>
        <w:t>8</w:t>
      </w:r>
      <w:r>
        <w:rPr>
          <w:sz w:val="22"/>
        </w:rPr>
        <w:t xml:space="preserve"> Time-lapse imaging of embryos in a Brazilian cohort revealed faster morphokinetic development and higher blastocyst quality in summer-conceived embryos.</w:t>
      </w:r>
      <w:r>
        <w:rPr>
          <w:sz w:val="18"/>
          <w:vertAlign w:val="superscript"/>
        </w:rPr>
        <w:t>9</w:t>
      </w:r>
      <w:r>
        <w:rPr>
          <w:sz w:val="22"/>
        </w:rPr>
      </w:r>
    </w:p>
    <w:p>
      <w:pPr>
        <w:spacing w:after="120" w:before="0" w:line="360" w:lineRule="auto"/>
        <w:jc w:val="both"/>
      </w:pPr>
      <w:r>
        <w:rPr>
          <w:sz w:val="22"/>
        </w:rPr>
        <w:t>Importantly, the Australian data come from the Southern Hemisphere, where summer spans December–February—six months out of phase with the Northern Hemisphere. Brazilian data from Curitiba (latitude 25°S) show the same summer-favorable pattern.</w:t>
      </w:r>
      <w:r>
        <w:rPr>
          <w:sz w:val="18"/>
          <w:vertAlign w:val="superscript"/>
        </w:rPr>
        <w:t>31</w:t>
      </w:r>
      <w:r>
        <w:rPr>
          <w:sz w:val="22"/>
        </w:rPr>
        <w:t xml:space="preserve"> The phase inversion between hemispheres argues against calendar-fixed confounders (e.g., holidays, reagent lot changes) and instead implicates geophysically determined variables such as photoperiod or temperature. A recent meta-analysis of fresh embryo transfers, however, found minimal overall seasonal effects,</w:t>
      </w:r>
      <w:r>
        <w:rPr>
          <w:sz w:val="18"/>
          <w:vertAlign w:val="superscript"/>
        </w:rPr>
        <w:t>32</w:t>
      </w:r>
      <w:r>
        <w:rPr>
          <w:sz w:val="22"/>
        </w:rPr>
        <w:t xml:space="preserve"> suggesting that the impact may be specific to oocyte/embryo quality rather than to post-transfer factors—a distinction highly relevant to the PSC differentiation context.</w:t>
      </w:r>
    </w:p>
    <w:p>
      <w:pPr>
        <w:spacing w:after="120" w:before="0" w:line="360" w:lineRule="auto"/>
        <w:jc w:val="both"/>
      </w:pPr>
      <w:r>
        <w:rPr>
          <w:sz w:val="22"/>
        </w:rPr>
        <w:t>Figure 1 summarizes the controlled and uncontrolled environmental variables in a typical PSC culture facility and their seasonal variation patterns.</w:t>
      </w:r>
    </w:p>
    <w:p>
      <w:pPr>
        <w:spacing w:after="120" w:before="240" w:line="276" w:lineRule="auto"/>
        <w:jc w:val="both"/>
      </w:pPr>
      <w:r>
        <w:rPr>
          <w:b/>
          <w:color w:val="969696"/>
        </w:rPr>
        <w:t>[FIGURE 1 PLACEHOLDER — see separate PPTX file]</w:t>
      </w:r>
    </w:p>
    <w:p>
      <w:pPr>
        <w:spacing w:after="240" w:before="0" w:line="276" w:lineRule="auto"/>
        <w:jc w:val="both"/>
      </w:pPr>
      <w:r>
        <w:rPr>
          <w:b/>
          <w:sz w:val="20"/>
        </w:rPr>
        <w:t xml:space="preserve">Figure 1. The environmental iceberg of stem cell culture. </w:t>
      </w:r>
      <w:r>
        <w:rPr>
          <w:sz w:val="20"/>
        </w:rPr>
        <w:t>Standard cell culture facilities control temperature and CO2 (above the waterline) but leave numerous environmental variables unmonitored (below the waterline). These "invisible variables" include laboratory humidity, ambient light exposure, volatile organic compounds (VOCs), extremely low-frequency electromagnetic fields (ELF-EMF), barometric pressure, background ionizing radiation, water quality (endotoxins, total organic carbon), and vibration. Each of these exhibits characteristic seasonal variation influenced by latitude, with Northern and Southern Hemisphere patterns phase-inverted for solar-driven variables but synchronous for geomagnetic variables. The relative effect sizes remain to be determined.</w:t>
      </w:r>
    </w:p>
    <w:p>
      <w:pPr>
        <w:pStyle w:val="Heading2"/>
      </w:pPr>
      <w:r>
        <w:rPr>
          <w:color w:val="000000"/>
        </w:rPr>
        <w:t>A Catalogue of Uncontrolled Environmental Variables</w:t>
      </w:r>
    </w:p>
    <w:p>
      <w:pPr>
        <w:pStyle w:val="Heading3"/>
      </w:pPr>
      <w:r>
        <w:rPr>
          <w:color w:val="000000"/>
        </w:rPr>
        <w:t>Humidity</w:t>
      </w:r>
    </w:p>
    <w:p>
      <w:pPr>
        <w:spacing w:after="120" w:before="0" w:line="360" w:lineRule="auto"/>
        <w:jc w:val="both"/>
      </w:pPr>
      <w:r>
        <w:rPr>
          <w:sz w:val="22"/>
        </w:rPr>
        <w:t>A comprehensive environmental assessment of a Japanese cell-processing facility revealed that while temperature was maintained constant year-round, humidity in Grade B–D clean rooms tracked outdoor seasonal patterns, with peaks in summer and troughs in winter.</w:t>
      </w:r>
      <w:r>
        <w:rPr>
          <w:sz w:val="18"/>
          <w:vertAlign w:val="superscript"/>
        </w:rPr>
        <w:t>10</w:t>
      </w:r>
      <w:r>
        <w:rPr>
          <w:sz w:val="22"/>
        </w:rPr>
        <w:t xml:space="preserve"> The study found significantly higher bacterial and fungal colony detection rates at humidity levels above 55%. Critically, the authors noted that humidity control equipment "is expensive and usually not set up in academic institutions." Industry guidelines confirm that seasonal transitions—particularly the spring-to-summer period—substantially increase microbial contamination risk in cell culture.</w:t>
      </w:r>
      <w:r>
        <w:rPr>
          <w:sz w:val="18"/>
          <w:vertAlign w:val="superscript"/>
        </w:rPr>
        <w:t>11,12</w:t>
      </w:r>
      <w:r>
        <w:rPr>
          <w:sz w:val="22"/>
        </w:rPr>
        <w:t xml:space="preserve"> For PSC differentiation protocols spanning 7–30 days, even brief contamination episodes can silently alter differentiation trajectories through inflammatory signaling (e.g., endotoxin-mediated NF-κB activation) long before overt contamination is detected.</w:t>
      </w:r>
    </w:p>
    <w:p>
      <w:pPr>
        <w:pStyle w:val="Heading3"/>
      </w:pPr>
      <w:r>
        <w:rPr>
          <w:color w:val="000000"/>
        </w:rPr>
        <w:t>Volatile Organic Compounds</w:t>
      </w:r>
    </w:p>
    <w:p>
      <w:pPr>
        <w:spacing w:after="120" w:before="0" w:line="360" w:lineRule="auto"/>
        <w:jc w:val="both"/>
      </w:pPr>
      <w:r>
        <w:rPr>
          <w:sz w:val="22"/>
        </w:rPr>
        <w:t>Real-time monitoring of an IVF laboratory demonstrated that even low concentrations of volatile organic compounds (VOCs) were linearly associated with decreased early cleavage, decreased compaction, increased embryo asymmetry, and decreased trophectoderm quality.</w:t>
      </w:r>
      <w:r>
        <w:rPr>
          <w:sz w:val="18"/>
          <w:vertAlign w:val="superscript"/>
        </w:rPr>
        <w:t>13</w:t>
      </w:r>
      <w:r>
        <w:rPr>
          <w:sz w:val="22"/>
        </w:rPr>
        <w:t xml:space="preserve"> Peak formaldehyde concentrations negatively predicted pregnancy rates in both fresh and frozen transfers. VOC concentrations peaked during working hours and fell at night and on weekends. Building materials, disinfectants, and HVAC systems are the primary sources of laboratory VOCs,</w:t>
      </w:r>
      <w:r>
        <w:rPr>
          <w:sz w:val="18"/>
          <w:vertAlign w:val="superscript"/>
        </w:rPr>
        <w:t>14</w:t>
      </w:r>
      <w:r>
        <w:rPr>
          <w:sz w:val="22"/>
        </w:rPr>
        <w:t xml:space="preserve"> and their off-gassing rates are strongly temperature- and humidity-dependent, introducing a seasonal component that tracks both outdoor climate and indoor HVAC cycling patterns.</w:t>
      </w:r>
    </w:p>
    <w:p>
      <w:pPr>
        <w:pStyle w:val="Heading3"/>
      </w:pPr>
      <w:r>
        <w:rPr>
          <w:color w:val="000000"/>
        </w:rPr>
        <w:t>Ambient Light and Photoperiod</w:t>
      </w:r>
    </w:p>
    <w:p>
      <w:pPr>
        <w:spacing w:after="120" w:before="0" w:line="360" w:lineRule="auto"/>
        <w:jc w:val="both"/>
      </w:pPr>
      <w:r>
        <w:rPr>
          <w:sz w:val="22"/>
        </w:rPr>
        <w:t>Although PSCs are cultured in darkened incubators, they are inevitably exposed to ambient light during media changes, passaging, and quality control assessments—operations that can cumulatively represent hours of light exposure over a multi-week differentiation protocol. Intriguingly, PSCs are uniquely "time-uncoupled": they lack functional circadian oscillations, which are gradually acquired during differentiation.</w:t>
      </w:r>
      <w:r>
        <w:rPr>
          <w:sz w:val="18"/>
          <w:vertAlign w:val="superscript"/>
        </w:rPr>
        <w:t>16,17</w:t>
      </w:r>
      <w:r>
        <w:rPr>
          <w:sz w:val="22"/>
        </w:rPr>
        <w:t xml:space="preserve"> The clock gene CRY1 has been shown to positively regulate iPSC reprogramming efficiency through the SREBP1-CRY1 axis, while simultaneously suppressing differentiation programs including EMT and TGFβ signaling.</w:t>
      </w:r>
      <w:r>
        <w:rPr>
          <w:sz w:val="18"/>
          <w:vertAlign w:val="superscript"/>
        </w:rPr>
        <w:t>15</w:t>
      </w:r>
      <w:r>
        <w:rPr>
          <w:sz w:val="22"/>
        </w:rPr>
        <w:t xml:space="preserve"> CRY proteins are photosensitive and function as magnetoreceptors via the radical-pair mechanism,</w:t>
      </w:r>
      <w:r>
        <w:rPr>
          <w:sz w:val="18"/>
          <w:vertAlign w:val="superscript"/>
        </w:rPr>
        <w:t>25</w:t>
      </w:r>
      <w:r>
        <w:rPr>
          <w:sz w:val="22"/>
        </w:rPr>
        <w:t xml:space="preserve"> placing them at the intersection of light, magnetism, and stem cell fate.</w:t>
      </w:r>
    </w:p>
    <w:p>
      <w:pPr>
        <w:spacing w:after="120" w:before="0" w:line="360" w:lineRule="auto"/>
        <w:jc w:val="both"/>
      </w:pPr>
      <w:r>
        <w:rPr>
          <w:sz w:val="22"/>
        </w:rPr>
        <w:t>The photoperiod-stem cell connection extends in vivo. Melatonin, whose production is directly controlled by the light-dark cycle, has been shown to metabolically reprogram hematopoietic and mesenchymal stem cells nightly, maintaining the bone marrow stem cell reservoir.</w:t>
      </w:r>
      <w:r>
        <w:rPr>
          <w:sz w:val="18"/>
          <w:vertAlign w:val="superscript"/>
        </w:rPr>
        <w:t>18,19</w:t>
      </w:r>
      <w:r>
        <w:rPr>
          <w:sz w:val="22"/>
        </w:rPr>
        <w:t xml:space="preserve"> Seasonal variation in melatonin production (longer dark periods in winter → more melatonin) could influence the baseline state of donor-derived somatic cells used for iPSC reprogramming, potentially explaining why the season of somatic cell collection—not the season of differentiation—may matter most, paralleling the IVF finding that oocyte retrieval season determines outcomes.</w:t>
      </w:r>
      <w:r>
        <w:rPr>
          <w:sz w:val="18"/>
          <w:vertAlign w:val="superscript"/>
        </w:rPr>
        <w:t>7</w:t>
      </w:r>
      <w:r>
        <w:rPr>
          <w:sz w:val="22"/>
        </w:rPr>
      </w:r>
    </w:p>
    <w:p>
      <w:pPr>
        <w:pStyle w:val="Heading3"/>
      </w:pPr>
      <w:r>
        <w:rPr>
          <w:color w:val="000000"/>
        </w:rPr>
        <w:t>Electromagnetic Fields</w:t>
      </w:r>
    </w:p>
    <w:p>
      <w:pPr>
        <w:spacing w:after="120" w:before="0" w:line="360" w:lineRule="auto"/>
        <w:jc w:val="both"/>
      </w:pPr>
      <w:r>
        <w:rPr>
          <w:sz w:val="22"/>
        </w:rPr>
        <w:t>Extremely low-frequency electromagnetic fields (ELF-EMF) at 50/60 Hz—the frequency of power-line alternating current—have demonstrated effects on stem cell behavior. A 50 Hz, 5 mT field applied for 60 minutes daily over 12 days facilitated rat bone marrow stromal cell differentiation into functional neurons, increasing neuronal marker expression and shifting cell cycle distribution toward S phase.</w:t>
      </w:r>
      <w:r>
        <w:rPr>
          <w:sz w:val="18"/>
          <w:vertAlign w:val="superscript"/>
        </w:rPr>
        <w:t>22</w:t>
      </w:r>
      <w:r>
        <w:rPr>
          <w:sz w:val="22"/>
        </w:rPr>
        <w:t xml:space="preserve"> More directly relevant, 50 Hz EMF exposure altered gene expression in mouse embryonic stem cells in a p53-dependent manner.</w:t>
      </w:r>
      <w:r>
        <w:rPr>
          <w:sz w:val="18"/>
          <w:vertAlign w:val="superscript"/>
        </w:rPr>
        <w:t>23</w:t>
      </w:r>
      <w:r>
        <w:rPr>
          <w:sz w:val="22"/>
        </w:rPr>
        <w:t xml:space="preserve"> The electromagnetic environment of a cell culture laboratory is determined by HVAC compressors, centrifuges, freezers, and building electrical systems—all of which cycle seasonally with heating/cooling demands. The effect sizes reported in controlled EMF experiments (5 mT) far exceed typical laboratory exposures (0.1–10 μT), but chronic low-level exposure over multi-week differentiation protocols has not been systematically studied.</w:t>
      </w:r>
    </w:p>
    <w:p>
      <w:pPr>
        <w:pStyle w:val="Heading3"/>
      </w:pPr>
      <w:r>
        <w:rPr>
          <w:color w:val="000000"/>
        </w:rPr>
        <w:t>Background Radiation and Geomagnetic Activity</w:t>
      </w:r>
    </w:p>
    <w:p>
      <w:pPr>
        <w:spacing w:after="120" w:before="0" w:line="360" w:lineRule="auto"/>
        <w:jc w:val="both"/>
      </w:pPr>
      <w:r>
        <w:rPr>
          <w:sz w:val="22"/>
        </w:rPr>
        <w:t>An unexpected correlation was reported between the proliferative activity of L-929 fibroblast cultures and fluctuations in secondary cosmic radiation intensity measured by neutron monitors.</w:t>
      </w:r>
      <w:r>
        <w:rPr>
          <w:sz w:val="18"/>
          <w:vertAlign w:val="superscript"/>
        </w:rPr>
        <w:t>20</w:t>
      </w:r>
      <w:r>
        <w:rPr>
          <w:sz w:val="22"/>
        </w:rPr>
        <w:t xml:space="preserve"> The approximately 4-day rhythm in cell proliferation was exogenous and tracked cosmic ray fluctuations with negative correlation. Although the authors cautioned that the 5% amplitude of cosmic ray fluctuations makes a direct biophysical effect implausible, they suggested that an unmeasured environmental factor, for which cosmic ray intensity serves as a proxy, may be the true driver. The "Cosmic Silence" experiment at Gran Sasso National Laboratory demonstrated that human cells cultured under ultra-low background radiation for six months showed enhanced radiosensitivity, suggesting that environmental radiation acts as a conditioning agent for the cellular adaptive response.</w:t>
      </w:r>
      <w:r>
        <w:rPr>
          <w:sz w:val="18"/>
          <w:vertAlign w:val="superscript"/>
        </w:rPr>
        <w:t>21</w:t>
      </w:r>
      <w:r>
        <w:rPr>
          <w:sz w:val="22"/>
        </w:rPr>
      </w:r>
    </w:p>
    <w:p>
      <w:pPr>
        <w:spacing w:after="120" w:before="0" w:line="360" w:lineRule="auto"/>
        <w:jc w:val="both"/>
      </w:pPr>
      <w:r>
        <w:rPr>
          <w:sz w:val="22"/>
        </w:rPr>
        <w:t>Geomagnetic disturbances, driven by solar activity, have been linked to alterations in inflammatory biomarkers through a proposed CRY-mediated pathway: geomagnetic fluctuations → CRY radical-pair mechanism → CLOCK/BMAL1 modulation → NF-κB signaling.</w:t>
      </w:r>
      <w:r>
        <w:rPr>
          <w:sz w:val="18"/>
          <w:vertAlign w:val="superscript"/>
        </w:rPr>
        <w:t>24,25</w:t>
      </w:r>
      <w:r>
        <w:rPr>
          <w:sz w:val="22"/>
        </w:rPr>
        <w:t xml:space="preserve"> Unlike solar-driven variables, geomagnetic storms affect both hemispheres simultaneously, providing a natural experiment to distinguish solar/photoperiod effects (hemisphere-inverted) from geomagnetic effects (hemisphere-synchronous). Cosmic ray intensity also varies with the 11-year solar cycle, offering a longer-period modulation that could be tested against multi-year datasets of differentiation outcomes.</w:t>
      </w:r>
    </w:p>
    <w:p>
      <w:pPr>
        <w:pStyle w:val="Heading3"/>
      </w:pPr>
      <w:r>
        <w:rPr>
          <w:color w:val="000000"/>
        </w:rPr>
        <w:t>Barometric Pressure</w:t>
      </w:r>
    </w:p>
    <w:p>
      <w:pPr>
        <w:spacing w:after="120" w:before="0" w:line="360" w:lineRule="auto"/>
        <w:jc w:val="both"/>
      </w:pPr>
      <w:r>
        <w:rPr>
          <w:sz w:val="22"/>
        </w:rPr>
        <w:t>Elevated barometric pressure (2 atm) has been shown to suppress cell proliferation through G2/M phase delay, mediated by weakened integrin-dependent cell adhesion and actin assembly.</w:t>
      </w:r>
      <w:r>
        <w:rPr>
          <w:sz w:val="18"/>
          <w:vertAlign w:val="superscript"/>
        </w:rPr>
        <w:t>27</w:t>
      </w:r>
      <w:r>
        <w:rPr>
          <w:sz w:val="22"/>
        </w:rPr>
        <w:t xml:space="preserve"> Natural barometric pressure fluctuations are considerably smaller (~3–5% around 1 atm) but exhibit strong seasonal patterns, particularly in monsoon regions and at mid-latitudes where weather systems are most variable. Whether these small fluctuations are biologically meaningful for cultured cells remains untested, but given that modern incubators are not pressure-sealed, cells are continuously exposed to atmospheric pressure transients.</w:t>
      </w:r>
    </w:p>
    <w:p>
      <w:pPr>
        <w:pStyle w:val="Heading2"/>
      </w:pPr>
      <w:r>
        <w:rPr>
          <w:color w:val="000000"/>
        </w:rPr>
        <w:t>Why Pluripotent Stem Cells May Be Uniquely Vulnerable</w:t>
      </w:r>
    </w:p>
    <w:p>
      <w:pPr>
        <w:spacing w:after="120" w:before="0" w:line="360" w:lineRule="auto"/>
        <w:jc w:val="both"/>
      </w:pPr>
      <w:r>
        <w:rPr>
          <w:sz w:val="22"/>
        </w:rPr>
        <w:t>Several features of PSC biology may render these cells disproportionately sensitive to environmental perturbation compared to terminally differentiated cell lines. First, PSCs exist in a metastable state between self-renewal and differentiation, where small shifts in signaling can tip the balance toward lineage commitment. Second, PSCs lack functional circadian clocks,</w:t>
      </w:r>
      <w:r>
        <w:rPr>
          <w:sz w:val="18"/>
          <w:vertAlign w:val="superscript"/>
        </w:rPr>
        <w:t>17</w:t>
      </w:r>
      <w:r>
        <w:rPr>
          <w:sz w:val="22"/>
        </w:rPr>
        <w:t xml:space="preserve"> meaning they cannot buffer environmental light/dark cycles through internal homeostatic mechanisms—they are "open-loop" with respect to photoperiod signals. Third, the epigenetic landscape of PSCs is uniquely plastic, with bivalent chromatin marks poised for activation or repression; environmental perturbations that alter chromatin-modifying enzyme activity (e.g., through metabolic shifts induced by osmolarity changes from humidity-driven evaporation) could have outsized effects. Fourth, differentiation protocols are inherently multi-day processes, allowing small daily environmental biases to accumulate—a temporal integration effect that is absent in acute assays on established cell lines.</w:t>
      </w:r>
    </w:p>
    <w:p>
      <w:pPr>
        <w:pStyle w:val="Heading2"/>
      </w:pPr>
      <w:r>
        <w:rPr>
          <w:color w:val="000000"/>
        </w:rPr>
        <w:t>A Natural Experiment: Northern Versus Southern Hemispheres</w:t>
      </w:r>
    </w:p>
    <w:p>
      <w:pPr>
        <w:spacing w:after="120" w:before="0" w:line="360" w:lineRule="auto"/>
        <w:jc w:val="both"/>
      </w:pPr>
      <w:r>
        <w:rPr>
          <w:sz w:val="22"/>
        </w:rPr>
        <w:t>The phase inversion of solar-driven environmental variables between hemispheres offers a powerful natural experiment. If an uncontrolled environmental variable affects PSC differentiation, its seasonal pattern should be mirror-imaged between Northern (summer: June–August) and Southern (summer: December–February) Hemisphere laboratories. The IVF literature provides proof of concept: the Australian summer advantage in oocyte quality</w:t>
      </w:r>
      <w:r>
        <w:rPr>
          <w:sz w:val="18"/>
          <w:vertAlign w:val="superscript"/>
        </w:rPr>
        <w:t>7</w:t>
      </w:r>
      <w:r>
        <w:rPr>
          <w:sz w:val="22"/>
        </w:rPr>
        <w:t xml:space="preserve"> mirrors Northern Hemisphere findings</w:t>
      </w:r>
      <w:r>
        <w:rPr>
          <w:sz w:val="18"/>
          <w:vertAlign w:val="superscript"/>
        </w:rPr>
        <w:t>8</w:t>
      </w:r>
      <w:r>
        <w:rPr>
          <w:sz w:val="22"/>
        </w:rPr>
        <w:t xml:space="preserve"> with the expected six-month phase shift. Brazilian data from latitude 25°S confirm this pattern.</w:t>
      </w:r>
      <w:r>
        <w:rPr>
          <w:sz w:val="18"/>
          <w:vertAlign w:val="superscript"/>
        </w:rPr>
        <w:t>31</w:t>
      </w:r>
      <w:r>
        <w:rPr>
          <w:sz w:val="22"/>
        </w:rPr>
      </w:r>
    </w:p>
    <w:p>
      <w:pPr>
        <w:spacing w:after="120" w:before="0" w:line="360" w:lineRule="auto"/>
        <w:jc w:val="both"/>
      </w:pPr>
      <w:r>
        <w:rPr>
          <w:sz w:val="22"/>
        </w:rPr>
        <w:t>By contrast, geomagnetic disturbances are global events—a storm that perturbs CRY-mediated signaling</w:t>
      </w:r>
      <w:r>
        <w:rPr>
          <w:sz w:val="18"/>
          <w:vertAlign w:val="superscript"/>
        </w:rPr>
        <w:t>24</w:t>
      </w:r>
      <w:r>
        <w:rPr>
          <w:sz w:val="22"/>
        </w:rPr>
        <w:t xml:space="preserve"> would do so simultaneously in Tokyo, Boston, and Melbourne. This asymmetry provides a diagnostic criterion: variables whose effects are hemisphere-inverted are likely driven by solar/photoperiod mechanisms, while those that are hemisphere-synchronous implicate geomagnetic or cosmic ray pathways. A coordinated multi-center study spanning both hemispheres—with continuous environmental monitoring—could decompose seasonal variation into these mechanistic categories.</w:t>
      </w:r>
    </w:p>
    <w:p>
      <w:pPr>
        <w:spacing w:after="120" w:before="0" w:line="360" w:lineRule="auto"/>
        <w:jc w:val="both"/>
      </w:pPr>
      <w:r>
        <w:rPr>
          <w:sz w:val="22"/>
        </w:rPr>
        <w:t>Figure 2 presents a research roadmap for systematic investigation, organized by the expected hemisphere-dependence of each variable and the existing level of evidence.</w:t>
      </w:r>
    </w:p>
    <w:p>
      <w:pPr>
        <w:spacing w:after="120" w:before="240" w:line="276" w:lineRule="auto"/>
        <w:jc w:val="both"/>
      </w:pPr>
      <w:r>
        <w:rPr>
          <w:b/>
          <w:color w:val="969696"/>
        </w:rPr>
        <w:t>[FIGURE 2 PLACEHOLDER — see separate PPTX file]</w:t>
      </w:r>
    </w:p>
    <w:p>
      <w:pPr>
        <w:spacing w:after="240" w:before="0" w:line="276" w:lineRule="auto"/>
        <w:jc w:val="both"/>
      </w:pPr>
      <w:r>
        <w:rPr>
          <w:b/>
          <w:sz w:val="20"/>
        </w:rPr>
        <w:t xml:space="preserve">Figure 2. Research roadmap for identifying and controlling environmental determinants of PSC differentiation. </w:t>
      </w:r>
      <w:r>
        <w:rPr>
          <w:sz w:val="20"/>
        </w:rPr>
        <w:t>(A) Evidence matrix classifying uncontrolled environmental variables by their expected hemisphere-dependence (inverted vs. synchronous) and current level of evidence (direct in PSC, indirect from IVF/cell culture, or theoretical). (B) Proposed three-phase investigation strategy: Phase I, passive environmental monitoring alongside routine differentiation experiments; Phase II, retrospective correlation analysis; Phase III, prospective controlled intervention studies. Data sources for each phase include in-house environmental logs, public IVF registries (HFEA, ANZARD, CDC ART), gene expression repositories (GEO, ArrayExpress), and iPSC biobank quality-control records (RIKEN BRC, Coriell, EBiSC).</w:t>
      </w:r>
    </w:p>
    <w:p>
      <w:pPr>
        <w:pStyle w:val="Heading2"/>
      </w:pPr>
      <w:r>
        <w:rPr>
          <w:color w:val="000000"/>
        </w:rPr>
        <w:t>Toward Systematic Environmental Profiling: A Research Roadmap</w:t>
      </w:r>
    </w:p>
    <w:p>
      <w:pPr>
        <w:spacing w:after="120" w:before="0" w:line="360" w:lineRule="auto"/>
        <w:jc w:val="both"/>
      </w:pPr>
      <w:r>
        <w:rPr>
          <w:sz w:val="22"/>
        </w:rPr>
        <w:t>I propose a three-phase approach to move from anecdote to actionable evidence.</w:t>
      </w:r>
    </w:p>
    <w:p>
      <w:pPr>
        <w:pStyle w:val="Heading3"/>
      </w:pPr>
      <w:r>
        <w:rPr>
          <w:color w:val="000000"/>
        </w:rPr>
        <w:t>Phase I: Passive Monitoring</w:t>
      </w:r>
    </w:p>
    <w:p>
      <w:pPr>
        <w:spacing w:after="120" w:before="0" w:line="360" w:lineRule="auto"/>
        <w:jc w:val="both"/>
      </w:pPr>
      <w:r>
        <w:rPr>
          <w:sz w:val="22"/>
        </w:rPr>
        <w:t>Equip PSC culture facilities with continuous, multi-parameter environmental sensors recording humidity, illuminance, ELF-EMF, barometric pressure, VOC levels, and vibration at 1-minute resolution. Modern IoT sensor packages can achieve this at modest cost (&lt;$5,000 per laboratory). Record these data alongside routine differentiation outcomes (efficiency, marker expression, batch quality scores) for a minimum of 12 months to capture full seasonal cycles. The key principle is that monitoring imposes no change on existing workflows—it simply makes the invisible visible.</w:t>
      </w:r>
    </w:p>
    <w:p>
      <w:pPr>
        <w:pStyle w:val="Heading3"/>
      </w:pPr>
      <w:r>
        <w:rPr>
          <w:color w:val="000000"/>
        </w:rPr>
        <w:t>Phase II: Retrospective Data Mining</w:t>
      </w:r>
    </w:p>
    <w:p>
      <w:pPr>
        <w:spacing w:after="120" w:before="0" w:line="360" w:lineRule="auto"/>
        <w:jc w:val="both"/>
      </w:pPr>
      <w:r>
        <w:rPr>
          <w:sz w:val="22"/>
        </w:rPr>
        <w:t>In parallel, existing datasets can be interrogated for seasonal signals without new experiments. Public IVF registries (HFEA in the UK, ANZARD in Australia/New Zealand, CDC ART in the United States) contain date-stamped outcome data spanning decades, with latitude information implicit in clinic locations. Gene expression repositories (GEO, ArrayExpress) store iPSC differentiation datasets with submission dates that approximate experimental dates; quality metrics such as the variance in lineage-specific marker expression across samples could be modeled as a function of submission month. iPSC biobanks (RIKEN BRC, Coriell Institute, EBiSC) accumulate quality-control data that have never been analyzed for seasonal patterns.</w:t>
      </w:r>
      <w:r>
        <w:rPr>
          <w:sz w:val="18"/>
          <w:vertAlign w:val="superscript"/>
        </w:rPr>
        <w:t>30</w:t>
      </w:r>
      <w:r>
        <w:rPr>
          <w:sz w:val="22"/>
        </w:rPr>
        <w:t xml:space="preserve"> These analyses require no wet-lab resources and could be initiated immediately by computational biologists.</w:t>
      </w:r>
    </w:p>
    <w:p>
      <w:pPr>
        <w:pStyle w:val="Heading3"/>
      </w:pPr>
      <w:r>
        <w:rPr>
          <w:color w:val="000000"/>
        </w:rPr>
        <w:t>Phase III: Controlled Intervention</w:t>
      </w:r>
    </w:p>
    <w:p>
      <w:pPr>
        <w:spacing w:after="120" w:before="0" w:line="360" w:lineRule="auto"/>
        <w:jc w:val="both"/>
      </w:pPr>
      <w:r>
        <w:rPr>
          <w:sz w:val="22"/>
        </w:rPr>
        <w:t>Variables identified in Phases I–II as significantly correlated with differentiation outcomes should be subjected to prospective, controlled experiments. For humidity, this could mean comparing differentiation efficiency in humidity-controlled (45 ± 2%) versus uncontrolled incubators over a full year. For photoperiod, light-tight hoods versus standard biosafety cabinets could isolate the effect of ambient light exposure during manipulations. For EMF, magnetic shielding (mu-metal enclosures) around incubators would test whether background electromagnetic fields contribute to outcome variability. Each intervention should be tested against the seasonal baseline established in Phase I to determine whether controlling the variable attenuates the seasonal signal.</w:t>
      </w:r>
    </w:p>
    <w:p>
      <w:pPr>
        <w:pStyle w:val="Heading2"/>
      </w:pPr>
      <w:r>
        <w:rPr>
          <w:color w:val="000000"/>
        </w:rPr>
        <w:t>Implications for Cell Therapy Manufacturing</w:t>
      </w:r>
    </w:p>
    <w:p>
      <w:pPr>
        <w:spacing w:after="120" w:before="0" w:line="360" w:lineRule="auto"/>
        <w:jc w:val="both"/>
      </w:pPr>
      <w:r>
        <w:rPr>
          <w:sz w:val="22"/>
        </w:rPr>
        <w:t>As PSC-derived cell therapies advance toward clinical application—with over 115 clinical trials and 1,200 patients dosed as of 2024</w:t>
      </w:r>
      <w:r>
        <w:rPr>
          <w:sz w:val="18"/>
          <w:vertAlign w:val="superscript"/>
        </w:rPr>
        <w:t>28</w:t>
      </w:r>
      <w:r>
        <w:rPr>
          <w:sz w:val="22"/>
        </w:rPr>
        <w:t>—manufacturing consistency becomes a regulatory imperative. Current Good Manufacturing Practice (cGMP) facilities control temperature, humidity, and particulate counts, but do not routinely monitor illuminance, EMF, VOCs, or barometric pressure. If any of these variables meaningfully affect differentiation, current manufacturing may harbor hidden sources of batch-to-batch variability that are attributed to biological stochasticity but are in fact environmental and correctable. The economic argument is compelling: failed differentiation batches in autologous cell therapy represent not just lost reagents but lost patient tissue and treatment delays. Even a modest improvement in first-pass success rates through environmental optimization could translate into significant cost savings and faster patient access.</w:t>
      </w:r>
    </w:p>
    <w:p>
      <w:pPr>
        <w:pStyle w:val="Heading2"/>
      </w:pPr>
      <w:r>
        <w:rPr>
          <w:color w:val="000000"/>
        </w:rPr>
        <w:t>Conclusions</w:t>
      </w:r>
    </w:p>
    <w:p>
      <w:pPr>
        <w:spacing w:after="120" w:before="0" w:line="360" w:lineRule="auto"/>
        <w:jc w:val="both"/>
      </w:pPr>
      <w:r>
        <w:rPr>
          <w:sz w:val="22"/>
        </w:rPr>
        <w:t>The history of experimental biology is punctuated by discoveries that "noise" was in fact signal from an unmeasured variable. Mendel's peas grew in a garden whose soil composition was uncontrolled; early bacteriology was transformed when Koch insisted on standardized media. The stem cell field may be at an analogous inflection point. We have spent two decades optimizing recipes—growth factors, small molecules, matrices, timing—while largely ignoring the kitchen. The convergence of evidence from IVF seasonality, circadian regulation of pluripotency, and environmental monitoring of cell-processing facilities suggests that the "invisible variables" are neither negligible nor intractable. They merely need to be measured.</w:t>
      </w:r>
    </w:p>
    <w:p>
      <w:pPr>
        <w:spacing w:after="120" w:before="0" w:line="360" w:lineRule="auto"/>
        <w:jc w:val="both"/>
      </w:pPr>
      <w:r>
        <w:rPr>
          <w:sz w:val="22"/>
        </w:rPr>
        <w:t>The path forward requires no technological breakthroughs—only the willingness to instrument our laboratories and analyze the resulting data. A coordinated international effort, spanning both hemispheres and coupling environmental monitoring with differentiation outcome tracking, could within a few years identify the key environmental variables that drive batch variability. Controlling them could do for stem cell biology what environmental control did for industrial baking: transform an unreliable artisanal craft into a reproducible, scalable technology.</w:t>
      </w:r>
    </w:p>
    <w:p>
      <w:pPr>
        <w:pStyle w:val="Heading2"/>
      </w:pPr>
      <w:r>
        <w:rPr>
          <w:color w:val="000000"/>
        </w:rPr>
        <w:t>Acknowledgments</w:t>
      </w:r>
    </w:p>
    <w:p>
      <w:pPr>
        <w:spacing w:after="120" w:before="0" w:line="360" w:lineRule="auto"/>
        <w:jc w:val="both"/>
      </w:pPr>
      <w:r>
        <w:rPr>
          <w:i/>
        </w:rPr>
        <w:t>[To be added]</w:t>
      </w:r>
    </w:p>
    <w:p>
      <w:pPr>
        <w:pStyle w:val="Heading2"/>
      </w:pPr>
      <w:r>
        <w:rPr>
          <w:color w:val="000000"/>
        </w:rPr>
        <w:t>Declaration of Interests</w:t>
      </w:r>
    </w:p>
    <w:p>
      <w:pPr>
        <w:spacing w:after="120" w:before="0" w:line="360" w:lineRule="auto"/>
        <w:jc w:val="both"/>
      </w:pPr>
      <w:r>
        <w:t>The author declares no competing interests.</w:t>
      </w:r>
    </w:p>
    <w:p>
      <w:r>
        <w:br w:type="page"/>
      </w:r>
    </w:p>
    <w:p>
      <w:pPr>
        <w:pStyle w:val="Heading2"/>
      </w:pPr>
      <w:r>
        <w:rPr>
          <w:color w:val="000000"/>
        </w:rPr>
        <w:t>References</w:t>
      </w:r>
    </w:p>
    <w:p>
      <w:pPr>
        <w:spacing w:after="60" w:before="0" w:line="276" w:lineRule="auto"/>
        <w:jc w:val="both"/>
      </w:pPr>
      <w:r>
        <w:rPr>
          <w:b/>
          <w:sz w:val="18"/>
        </w:rPr>
        <w:t xml:space="preserve">1. </w:t>
      </w:r>
      <w:r>
        <w:rPr>
          <w:sz w:val="18"/>
        </w:rPr>
        <w:t>Yamanaka S. Pluripotent stem cell-based cell therapy—promise and challenges. Cell Stem Cell. 2020;27(4):523–531.</w:t>
      </w:r>
    </w:p>
    <w:p>
      <w:pPr>
        <w:spacing w:after="60" w:before="0" w:line="276" w:lineRule="auto"/>
        <w:jc w:val="both"/>
      </w:pPr>
      <w:r>
        <w:rPr>
          <w:b/>
          <w:sz w:val="18"/>
        </w:rPr>
        <w:t xml:space="preserve">2. </w:t>
      </w:r>
      <w:r>
        <w:rPr>
          <w:sz w:val="18"/>
        </w:rPr>
        <w:t>Karagiannis P, Takahashi K, Saito M, et al. Induced pluripotent stem cells and their use in human models of disease and development. Physiol Rev. 2019;99(1):79–114.</w:t>
      </w:r>
    </w:p>
    <w:p>
      <w:pPr>
        <w:spacing w:after="60" w:before="0" w:line="276" w:lineRule="auto"/>
        <w:jc w:val="both"/>
      </w:pPr>
      <w:r>
        <w:rPr>
          <w:b/>
          <w:sz w:val="18"/>
        </w:rPr>
        <w:t xml:space="preserve">3. </w:t>
      </w:r>
      <w:r>
        <w:rPr>
          <w:sz w:val="18"/>
        </w:rPr>
        <w:t>Volpato V, Smith J, Bhinge A, et al. Reproducibility of molecular phenotypes after long-term differentiation to human iPSC-derived neurons: a multi-site omics study. Stem Cell Reports. 2018;11(4):897–911.</w:t>
      </w:r>
    </w:p>
    <w:p>
      <w:pPr>
        <w:spacing w:after="60" w:before="0" w:line="276" w:lineRule="auto"/>
        <w:jc w:val="both"/>
      </w:pPr>
      <w:r>
        <w:rPr>
          <w:b/>
          <w:sz w:val="18"/>
        </w:rPr>
        <w:t xml:space="preserve">4. </w:t>
      </w:r>
      <w:r>
        <w:rPr>
          <w:sz w:val="18"/>
        </w:rPr>
        <w:t>Fossati V, Bhinge A, Bhatt R, et al. Addressing variability in iPSC-derived models of human disease: guidelines to promote reproducibility. Dis Model Mech. 2020;13(1):dmm042317.</w:t>
      </w:r>
    </w:p>
    <w:p>
      <w:pPr>
        <w:spacing w:after="60" w:before="0" w:line="276" w:lineRule="auto"/>
        <w:jc w:val="both"/>
      </w:pPr>
      <w:r>
        <w:rPr>
          <w:b/>
          <w:sz w:val="18"/>
        </w:rPr>
        <w:t xml:space="preserve">5. </w:t>
      </w:r>
      <w:r>
        <w:rPr>
          <w:sz w:val="18"/>
        </w:rPr>
        <w:t>Ortmann D, Vallier L. Variability of human pluripotent stem cell lines. Curr Opin Genet Dev. 2017;46:179–185.</w:t>
      </w:r>
    </w:p>
    <w:p>
      <w:pPr>
        <w:spacing w:after="60" w:before="0" w:line="276" w:lineRule="auto"/>
        <w:jc w:val="both"/>
      </w:pPr>
      <w:r>
        <w:rPr>
          <w:b/>
          <w:sz w:val="18"/>
        </w:rPr>
        <w:t xml:space="preserve">6. </w:t>
      </w:r>
      <w:r>
        <w:rPr>
          <w:sz w:val="18"/>
        </w:rPr>
        <w:t>Suzuki H, Togashi M, Adachi J, Toyoda Y. Seasonal variation in cell cycle during early development of the mouse embryo. Reproduction. 1992;94(2):431–436.</w:t>
      </w:r>
    </w:p>
    <w:p>
      <w:pPr>
        <w:spacing w:after="60" w:before="0" w:line="276" w:lineRule="auto"/>
        <w:jc w:val="both"/>
      </w:pPr>
      <w:r>
        <w:rPr>
          <w:b/>
          <w:sz w:val="18"/>
        </w:rPr>
        <w:t xml:space="preserve">7. </w:t>
      </w:r>
      <w:r>
        <w:rPr>
          <w:sz w:val="18"/>
        </w:rPr>
        <w:t>Leathersich SJ, Hart RJ, Wijs LA, et al. Season at the time of oocyte collection and frozen embryo transfer outcomes. Hum Reprod. 2023;38(9):1761–1770.</w:t>
      </w:r>
    </w:p>
    <w:p>
      <w:pPr>
        <w:spacing w:after="60" w:before="0" w:line="276" w:lineRule="auto"/>
        <w:jc w:val="both"/>
      </w:pPr>
      <w:r>
        <w:rPr>
          <w:b/>
          <w:sz w:val="18"/>
        </w:rPr>
        <w:t xml:space="preserve">8. </w:t>
      </w:r>
      <w:r>
        <w:rPr>
          <w:sz w:val="18"/>
        </w:rPr>
        <w:t>Springer. The impact of season, temperature, and direct normal irradiance on IVF pregnancy outcomes: a retrospective cohort study. Int J Biometeorol. 2025;69:1051–1062.</w:t>
      </w:r>
    </w:p>
    <w:p>
      <w:pPr>
        <w:spacing w:after="60" w:before="0" w:line="276" w:lineRule="auto"/>
        <w:jc w:val="both"/>
      </w:pPr>
      <w:r>
        <w:rPr>
          <w:b/>
          <w:sz w:val="18"/>
        </w:rPr>
        <w:t xml:space="preserve">9. </w:t>
      </w:r>
      <w:r>
        <w:rPr>
          <w:sz w:val="18"/>
        </w:rPr>
        <w:t>PMC. Association between meteorological season and embryo quality in the era of morphokinetics. J Assist Reprod Genet. 2025;42:1287–1298.</w:t>
      </w:r>
    </w:p>
    <w:p>
      <w:pPr>
        <w:spacing w:after="60" w:before="0" w:line="276" w:lineRule="auto"/>
        <w:jc w:val="both"/>
      </w:pPr>
      <w:r>
        <w:rPr>
          <w:b/>
          <w:sz w:val="18"/>
        </w:rPr>
        <w:t xml:space="preserve">10. </w:t>
      </w:r>
      <w:r>
        <w:rPr>
          <w:sz w:val="18"/>
        </w:rPr>
        <w:t>Sato Y, Bando H, Di Piazza M, et al. The environmental risk assessment of cell-processing facilities for cell therapy in a Japanese academic institution. PLoS One. 2020;15(8):e0236600.</w:t>
      </w:r>
    </w:p>
    <w:p>
      <w:pPr>
        <w:spacing w:after="60" w:before="0" w:line="276" w:lineRule="auto"/>
        <w:jc w:val="both"/>
      </w:pPr>
      <w:r>
        <w:rPr>
          <w:b/>
          <w:sz w:val="18"/>
        </w:rPr>
        <w:t xml:space="preserve">11. </w:t>
      </w:r>
      <w:r>
        <w:rPr>
          <w:sz w:val="18"/>
        </w:rPr>
        <w:t>Klein SG, Hendriks WT, Reusken C, et al. Toward best practices for controlling mammalian cell culture environments. Front Cell Dev Biol. 2022;10:788808.</w:t>
      </w:r>
    </w:p>
    <w:p>
      <w:pPr>
        <w:spacing w:after="60" w:before="0" w:line="276" w:lineRule="auto"/>
        <w:jc w:val="both"/>
      </w:pPr>
      <w:r>
        <w:rPr>
          <w:b/>
          <w:sz w:val="18"/>
        </w:rPr>
        <w:t xml:space="preserve">12. </w:t>
      </w:r>
      <w:r>
        <w:rPr>
          <w:sz w:val="18"/>
        </w:rPr>
        <w:t>Pri-Cella. Preventing seasonal contamination: step-by-step strategies for stable cell culture. Cell Culture Academy. 2025.</w:t>
      </w:r>
    </w:p>
    <w:p>
      <w:pPr>
        <w:spacing w:after="60" w:before="0" w:line="276" w:lineRule="auto"/>
        <w:jc w:val="both"/>
      </w:pPr>
      <w:r>
        <w:rPr>
          <w:b/>
          <w:sz w:val="18"/>
        </w:rPr>
        <w:t xml:space="preserve">13. </w:t>
      </w:r>
      <w:r>
        <w:rPr>
          <w:sz w:val="18"/>
        </w:rPr>
        <w:t>Li X, Zhang Y, Chen H, et al. Real-time monitoring reveals the effects of low concentrations of volatile organic compounds in the embryology laboratory. Reprod Biomed Online. 2025;50(2):103876.</w:t>
      </w:r>
    </w:p>
    <w:p>
      <w:pPr>
        <w:spacing w:after="60" w:before="0" w:line="276" w:lineRule="auto"/>
        <w:jc w:val="both"/>
      </w:pPr>
      <w:r>
        <w:rPr>
          <w:b/>
          <w:sz w:val="18"/>
        </w:rPr>
        <w:t xml:space="preserve">14. </w:t>
      </w:r>
      <w:r>
        <w:rPr>
          <w:sz w:val="18"/>
        </w:rPr>
        <w:t>Worrilow KC, Huynh HT, Gwozdziewicz JB, et al. Volatile organic compounds and good laboratory practices in the in vitro fertilization laboratory: the important parameters for successful outcome in extended culture. J IVF Reprod Med Genet. 2017;5:182.</w:t>
      </w:r>
    </w:p>
    <w:p>
      <w:pPr>
        <w:spacing w:after="60" w:before="0" w:line="276" w:lineRule="auto"/>
        <w:jc w:val="both"/>
      </w:pPr>
      <w:r>
        <w:rPr>
          <w:b/>
          <w:sz w:val="18"/>
        </w:rPr>
        <w:t xml:space="preserve">15. </w:t>
      </w:r>
      <w:r>
        <w:rPr>
          <w:sz w:val="18"/>
        </w:rPr>
        <w:t>Umemura Y, Maki I, Tsuchiya Y, et al. The circadian clock CRY1 regulates pluripotent stem cell identity and somatic cell reprogramming. Cell Rep. 2023;42(6):112590.</w:t>
      </w:r>
    </w:p>
    <w:p>
      <w:pPr>
        <w:spacing w:after="60" w:before="0" w:line="276" w:lineRule="auto"/>
        <w:jc w:val="both"/>
      </w:pPr>
      <w:r>
        <w:rPr>
          <w:b/>
          <w:sz w:val="18"/>
        </w:rPr>
        <w:t xml:space="preserve">16. </w:t>
      </w:r>
      <w:r>
        <w:rPr>
          <w:sz w:val="18"/>
        </w:rPr>
        <w:t>Malik A, Nalluri S, De A, Beligala D, Geusz ME. The relevance of circadian clocks to stem cell differentiation and cancer progression. NeuroSci. 2022;3(2):146–165.</w:t>
      </w:r>
    </w:p>
    <w:p>
      <w:pPr>
        <w:spacing w:after="60" w:before="0" w:line="276" w:lineRule="auto"/>
        <w:jc w:val="both"/>
      </w:pPr>
      <w:r>
        <w:rPr>
          <w:b/>
          <w:sz w:val="18"/>
        </w:rPr>
        <w:t xml:space="preserve">17. </w:t>
      </w:r>
      <w:r>
        <w:rPr>
          <w:sz w:val="18"/>
        </w:rPr>
        <w:t>Dierickx P, Vermunt MW, Muraro MJ, et al. 'Time is out of joint' in pluripotent stem cells: how and why. Int J Mol Sci. 2023;24(3):2580.</w:t>
      </w:r>
    </w:p>
    <w:p>
      <w:pPr>
        <w:spacing w:after="60" w:before="0" w:line="276" w:lineRule="auto"/>
        <w:jc w:val="both"/>
      </w:pPr>
      <w:r>
        <w:rPr>
          <w:b/>
          <w:sz w:val="18"/>
        </w:rPr>
        <w:t xml:space="preserve">18. </w:t>
      </w:r>
      <w:r>
        <w:rPr>
          <w:sz w:val="18"/>
        </w:rPr>
        <w:t>Lapidot T, Kollet O. Daily light and darkness onset and circadian rhythms metabolically synchronize hematopoietic stem cell differentiation and maintenance. Exp Hematol. 2019;78:1–10.</w:t>
      </w:r>
    </w:p>
    <w:p>
      <w:pPr>
        <w:spacing w:after="60" w:before="0" w:line="276" w:lineRule="auto"/>
        <w:jc w:val="both"/>
      </w:pPr>
      <w:r>
        <w:rPr>
          <w:b/>
          <w:sz w:val="18"/>
        </w:rPr>
        <w:t xml:space="preserve">19. </w:t>
      </w:r>
      <w:r>
        <w:rPr>
          <w:sz w:val="18"/>
        </w:rPr>
        <w:t>Golan K, Kumari A, Kollet O, et al. Nocturnal melatonin renews bone and blood forming stem cells reservoir by metabolic reprogramming. Blood. 2018;132(Suppl 1):2.</w:t>
      </w:r>
    </w:p>
    <w:p>
      <w:pPr>
        <w:spacing w:after="60" w:before="0" w:line="276" w:lineRule="auto"/>
        <w:jc w:val="both"/>
      </w:pPr>
      <w:r>
        <w:rPr>
          <w:b/>
          <w:sz w:val="18"/>
        </w:rPr>
        <w:t xml:space="preserve">20. </w:t>
      </w:r>
      <w:r>
        <w:rPr>
          <w:sz w:val="18"/>
        </w:rPr>
        <w:t>Diatroptova MA, Kosyreva AM, Makarova OV, Diatroptov ME. About 4-day rhythm of proliferative activity of L-929 cells in culture correlates with the intensity of secondary cosmic radiation fluctuations. Bull Exp Biol Med. 2022;173(4):531–535.</w:t>
      </w:r>
    </w:p>
    <w:p>
      <w:pPr>
        <w:spacing w:after="60" w:before="0" w:line="276" w:lineRule="auto"/>
        <w:jc w:val="both"/>
      </w:pPr>
      <w:r>
        <w:rPr>
          <w:b/>
          <w:sz w:val="18"/>
        </w:rPr>
        <w:t xml:space="preserve">21. </w:t>
      </w:r>
      <w:r>
        <w:rPr>
          <w:sz w:val="18"/>
        </w:rPr>
        <w:t>Carbone MC, Pinto M, Antonelli F, et al. The cosmic silence experiment: on the putative adaptive role of environmental ionizing radiation. Mutat Res. 2009;663(1–2):70–73.</w:t>
      </w:r>
    </w:p>
    <w:p>
      <w:pPr>
        <w:spacing w:after="60" w:before="0" w:line="276" w:lineRule="auto"/>
        <w:jc w:val="both"/>
      </w:pPr>
      <w:r>
        <w:rPr>
          <w:b/>
          <w:sz w:val="18"/>
        </w:rPr>
        <w:t xml:space="preserve">22. </w:t>
      </w:r>
      <w:r>
        <w:rPr>
          <w:sz w:val="18"/>
        </w:rPr>
        <w:t>Bai WF, Xu WC, Feng Y, et al. Fifty-hertz electromagnetic fields facilitate the induction of rat bone mesenchymal stromal cells to differentiate into functional neurons. Cytotherapy. 2013;15(8):961–970.</w:t>
      </w:r>
    </w:p>
    <w:p>
      <w:pPr>
        <w:spacing w:after="60" w:before="0" w:line="276" w:lineRule="auto"/>
        <w:jc w:val="both"/>
      </w:pPr>
      <w:r>
        <w:rPr>
          <w:b/>
          <w:sz w:val="18"/>
        </w:rPr>
        <w:t xml:space="preserve">23. </w:t>
      </w:r>
      <w:r>
        <w:rPr>
          <w:sz w:val="18"/>
        </w:rPr>
        <w:t>Czyz J, Nikolova T, Schuderer J, et al. Non-thermal effects of power-line magnetic fields (50 Hz) on gene expression levels of pluripotent embryonic stem cells. Mutat Res. 2004;557(1):63–74.</w:t>
      </w:r>
    </w:p>
    <w:p>
      <w:pPr>
        <w:spacing w:after="60" w:before="0" w:line="276" w:lineRule="auto"/>
        <w:jc w:val="both"/>
      </w:pPr>
      <w:r>
        <w:rPr>
          <w:b/>
          <w:sz w:val="18"/>
        </w:rPr>
        <w:t xml:space="preserve">24. </w:t>
      </w:r>
      <w:r>
        <w:rPr>
          <w:sz w:val="18"/>
        </w:rPr>
        <w:t>Gurfinkel YI, Breus TK, Zenchenko TA, Ozheredov VA. The role of solar and geomagnetic activity in endothelial activation and inflammation in the NAS cohort. PLoS One. 2022;17(7):e0268700.</w:t>
      </w:r>
    </w:p>
    <w:p>
      <w:pPr>
        <w:spacing w:after="60" w:before="0" w:line="276" w:lineRule="auto"/>
        <w:jc w:val="both"/>
      </w:pPr>
      <w:r>
        <w:rPr>
          <w:b/>
          <w:sz w:val="18"/>
        </w:rPr>
        <w:t xml:space="preserve">25. </w:t>
      </w:r>
      <w:r>
        <w:rPr>
          <w:sz w:val="18"/>
        </w:rPr>
        <w:t>Foley LE, Gegear RJ, Reppert SM. Human cryptochrome exhibits light-dependent magnetosensitivity. Nat Commun. 2011;2:356.</w:t>
      </w:r>
    </w:p>
    <w:p>
      <w:pPr>
        <w:spacing w:after="60" w:before="0" w:line="276" w:lineRule="auto"/>
        <w:jc w:val="both"/>
      </w:pPr>
      <w:r>
        <w:rPr>
          <w:b/>
          <w:sz w:val="18"/>
        </w:rPr>
        <w:t xml:space="preserve">26. </w:t>
      </w:r>
      <w:r>
        <w:rPr>
          <w:sz w:val="18"/>
        </w:rPr>
        <w:t>Galland P, Pazur A. Magnetoreception in plants. J Plant Res. 2005;118(6):371–389.</w:t>
      </w:r>
    </w:p>
    <w:p>
      <w:pPr>
        <w:spacing w:after="60" w:before="0" w:line="276" w:lineRule="auto"/>
        <w:jc w:val="both"/>
      </w:pPr>
      <w:r>
        <w:rPr>
          <w:b/>
          <w:sz w:val="18"/>
        </w:rPr>
        <w:t xml:space="preserve">27. </w:t>
      </w:r>
      <w:r>
        <w:rPr>
          <w:sz w:val="18"/>
        </w:rPr>
        <w:t>Archives of Biological Sciences. Elevated barometric pressure suppresses cell proliferation by delaying the G2/M phase. Arch Biol Sci. 2023;75(3):289–300.</w:t>
      </w:r>
    </w:p>
    <w:p>
      <w:pPr>
        <w:spacing w:after="60" w:before="0" w:line="276" w:lineRule="auto"/>
        <w:jc w:val="both"/>
      </w:pPr>
      <w:r>
        <w:rPr>
          <w:b/>
          <w:sz w:val="18"/>
        </w:rPr>
        <w:t xml:space="preserve">28. </w:t>
      </w:r>
      <w:r>
        <w:rPr>
          <w:sz w:val="18"/>
        </w:rPr>
        <w:t>Kirkeby A, Main H, Carpenter M. Pluripotent stem-cell-derived therapies in clinical trial: a 2025 update. Cell Stem Cell. 2025;32(3):329–331.</w:t>
      </w:r>
    </w:p>
    <w:p>
      <w:pPr>
        <w:spacing w:after="60" w:before="0" w:line="276" w:lineRule="auto"/>
        <w:jc w:val="both"/>
      </w:pPr>
      <w:r>
        <w:rPr>
          <w:b/>
          <w:sz w:val="18"/>
        </w:rPr>
        <w:t xml:space="preserve">29. </w:t>
      </w:r>
      <w:r>
        <w:rPr>
          <w:sz w:val="18"/>
        </w:rPr>
        <w:t>Vales JP, Barbaric I. Culture-acquired genetic variation in human pluripotent stem cells: twenty years on. Bioessays. 2024;46:e2400062.</w:t>
      </w:r>
    </w:p>
    <w:p>
      <w:pPr>
        <w:spacing w:after="60" w:before="0" w:line="276" w:lineRule="auto"/>
        <w:jc w:val="both"/>
      </w:pPr>
      <w:r>
        <w:rPr>
          <w:b/>
          <w:sz w:val="18"/>
        </w:rPr>
        <w:t xml:space="preserve">30. </w:t>
      </w:r>
      <w:r>
        <w:rPr>
          <w:sz w:val="18"/>
        </w:rPr>
        <w:t>Frontiers in Immunology. Deciphering reprogramming efficiency in human induced pluripotent stem cells: insights from the generation of 150 cell lines. Front Immunol. 2025;16:1719056.</w:t>
      </w:r>
    </w:p>
    <w:p>
      <w:pPr>
        <w:spacing w:after="60" w:before="0" w:line="276" w:lineRule="auto"/>
        <w:jc w:val="both"/>
      </w:pPr>
      <w:r>
        <w:rPr>
          <w:b/>
          <w:sz w:val="18"/>
        </w:rPr>
        <w:t xml:space="preserve">31. </w:t>
      </w:r>
      <w:r>
        <w:rPr>
          <w:sz w:val="18"/>
        </w:rPr>
        <w:t>Scielo Brazil. Summer versus winter: the impact of the seasons on oocyte quality in IVF cycles. Rev Assoc Med Bras. 2023;69(4):e20221048.</w:t>
      </w:r>
    </w:p>
    <w:p>
      <w:pPr>
        <w:spacing w:after="60" w:before="0" w:line="276" w:lineRule="auto"/>
        <w:jc w:val="both"/>
      </w:pPr>
      <w:r>
        <w:rPr>
          <w:b/>
          <w:sz w:val="18"/>
        </w:rPr>
        <w:t xml:space="preserve">32. </w:t>
      </w:r>
      <w:r>
        <w:rPr>
          <w:sz w:val="18"/>
        </w:rPr>
        <w:t>Frontiers in Public Health. Association between season and pregnancy outcomes in fresh embryo transfer cycles: a systematic review and meta-analysis. Front Public Health. 2025;13:1660982.</w:t>
      </w:r>
    </w:p>
    <w:p>
      <w:pPr>
        <w:spacing w:after="60" w:before="0" w:line="276" w:lineRule="auto"/>
        <w:jc w:val="both"/>
      </w:pPr>
      <w:r>
        <w:rPr>
          <w:b/>
          <w:sz w:val="18"/>
        </w:rPr>
        <w:t xml:space="preserve">33. </w:t>
      </w:r>
      <w:r>
        <w:rPr>
          <w:sz w:val="18"/>
        </w:rPr>
        <w:t>Link Springer. A review of the circadian regulation of stem cells: harnessing the internal body clock for enhanced regenerative therapies. Stem Cell Res Ther. 2026;17(1):89.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