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 ABO blood group, O allele, Neanderthal sub-lineage, Ancient North Eurasian</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Motivated by the observation that Native American populations show near-fixation of blood group O — whose O2 sub-allele is Neanderthal-derived — we examined archaic introgression at the ABO locus across 66 populations. Analysis of 517 introgressed segments revealed that Indigenous Americans carry exclusively Vindija-type Neanderthal DNA at ABO, while East Asian and Oceanian populations carry Altai/Chagyrskaya types. Ancient genome data further showed a temporal shift from Altai/Chagyrskaya dominance (&gt;8 kya) to Vindija predominance (57%) in present-day West Eurasians (p = 0.003). We attribute the Vindija-type in Indigenous Americans to Ancient North Eurasian (ANE) ancestry and propose that density-dependent pathogen selection drove sub-lineage turnover in the Old World while preserving the ancestral composition in low-density Americas. These locus-specific patterns motivated a genome-wide extension: pairwise correlations of archaic introgression profiles across ~6,000 genomic windows serve as an independent tracer of past human migration, explaining 51% (Neanderthal, R</w:t>
      </w:r>
      <w:r>
        <w:rPr>
          <w:sz w:val="20"/>
          <w:vertAlign w:val="superscript"/>
        </w:rPr>
        <w:t>2</w:t>
      </w:r>
      <w:r>
        <w:rPr>
          <w:rFonts w:ascii="Times New Roman" w:hAnsi="Times New Roman"/>
          <w:sz w:val="24"/>
        </w:rPr>
        <w:t xml:space="preserve"> = 0.510) and 50% (Denisovan, R</w:t>
      </w:r>
      <w:r>
        <w:rPr>
          <w:sz w:val="20"/>
          <w:vertAlign w:val="superscript"/>
        </w:rPr>
        <w:t>2</w:t>
      </w:r>
      <w:r>
        <w:rPr>
          <w:rFonts w:ascii="Times New Roman" w:hAnsi="Times New Roman"/>
          <w:sz w:val="24"/>
        </w:rPr>
        <w:t xml:space="preserve"> = 0.495) of sharing variance after confounding correction. Denisovan introgression creates a sharp boundary coinciding with the Wallace Line, while Neanderthal residuals highlight trans-Pacific connections consistent with Beringian migration.</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Our investigation originated from a seemingly simple observation: Native American populations exhibit a near-fixation of blood group O, with frequencies reaching 95-100% in isolated groups such as the Surui and Karitiana. The O allele of the ABO blood group gene (chr9:133.2-133.3 Mb) includes the O2 sub-allele, which carries a frameshift deletion (261delG, rs8176719) that has been identified as Neanderthal-derived.</w:t>
      </w:r>
      <w:r>
        <w:rPr>
          <w:sz w:val="20"/>
          <w:vertAlign w:val="superscript"/>
        </w:rPr>
        <w:t>6</w:t>
      </w:r>
      <w:r>
        <w:rPr>
          <w:rFonts w:ascii="Times New Roman" w:hAnsi="Times New Roman"/>
          <w:sz w:val="24"/>
        </w:rPr>
        <w:t xml:space="preserve"> This prompted us to ask: does the ABO locus retain an imprint of the archaic interbreeding events that accompanied the peopling of the Americas? To address this question, we first examined archaic introgression patterns at the ABO locus across 66 populations, which revealed dramatic regional differences in both frequency and Neanderthal sub-lineage composition. These locus-specific findings motivated a genome-wide extension of the analysis — from a single gene to all ~6,000 genomic windows — forming the basis of the hypothesis presented here.</w:t>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4,7</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8</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four key ways: (1) we jointly analyze both Neanderthal and Denisovan introgression, exploiting their complementary geographic signatures; (2) we operate at the level of segment sharing rather than aggregate proportions, capturing population-specific introgression patterns; (3) we explicitly model confounding factors (recent admixture and continental grouping) to isolate residual sharing signals indicative of unexpected historical connections; and (4) we adopt a hypothesis-generating rather than hypothesis-testing framework, deriving testable predictions from locus-specific ABO observations that motivate genome-wide analysis.</w:t>
      </w:r>
    </w:p>
    <w:p>
      <w:pPr>
        <w:pStyle w:val="Heading1"/>
      </w:pPr>
      <w:r>
        <w:rPr>
          <w:color w:val="000000"/>
        </w:rPr>
        <w:t>The Hypothesis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Supporting Evidence from Publicly Available Data</w:t>
      </w:r>
    </w:p>
    <w:p>
      <w:pPr>
        <w:pStyle w:val="Heading2"/>
      </w:pPr>
      <w:r>
        <w:rPr>
          <w:color w:val="000000"/>
        </w:rPr>
        <w:t>Data and analytical framework</w:t>
      </w:r>
    </w:p>
    <w:p>
      <w:pPr/>
      <w:r>
        <w:rPr>
          <w:rFonts w:ascii="Times New Roman" w:hAnsi="Times New Roman"/>
          <w:sz w:val="24"/>
        </w:rPr>
        <w:t>To evaluate this hypothesis, we reanalyzed archaic introgression segments detected by hmmix</w:t>
      </w:r>
      <w:r>
        <w:rPr>
          <w:sz w:val="20"/>
          <w:vertAlign w:val="superscript"/>
        </w:rPr>
        <w:t>9</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2"/>
      </w:pPr>
      <w:r>
        <w:rPr>
          <w:color w:val="000000"/>
        </w:rPr>
        <w:t>Confounding correction and outlier detection</w:t>
      </w:r>
    </w:p>
    <w:p>
      <w:pPr/>
      <w:r>
        <w:rPr>
          <w:rFonts w:ascii="Times New Roman" w:hAnsi="Times New Roman"/>
          <w:sz w:val="24"/>
        </w:rPr>
        <w:t>Across 2,145 population pairs, Neanderthal segment sharing correlated negatively with geographic distance (r = −0.49, p &lt; 10⁻¹²⁷; Figure 1A). Excluding the five admixed populations (CLM, PUR, MXL, PEL, GIH) strengthened the correlation to r = −0.62 (p &lt; 10⁻¹⁹¹; Figure 4), confirming that recent admixture inflates between-continent sharing and must be controlled for. The bootstrap 95% CI for the regression slope was [−2.74 × 10⁻⁵, −2.33 × 10⁻⁵] per km (10,000 resamples), indicating a robust linear decline.</w:t>
      </w:r>
    </w:p>
    <w:p>
      <w:pPr/>
      <w:r>
        <w:rPr>
          <w:rFonts w:ascii="Times New Roman" w:hAnsi="Times New Roman"/>
          <w:sz w:val="24"/>
        </w:rPr>
        <w:t>After incorporating admixture and continental grouping as covariates, the corrected model explained 51.0% (Neanderthal, 95% CI: 48.3–53.8%) and 49.5% (Denisovan, 95% CI: 46.9–52.2%) of the variance. The partial correlation between Neanderthal sharing and distance, after controlling for shared continental ancestry, remained significant (r = −0.19, p &lt; 10⁻¹⁸). The attenuation from r = −0.62 to r = −0.19 indicates that a substantial portion of the raw correlation reflects population structure, but the residual signal persists after this is removed. This residual is the target of our hypothesis: it represents distance-independent sharing attributable to migration.</w:t>
      </w:r>
    </w:p>
    <w:p>
      <w:pPr/>
      <w:r>
        <w:rPr>
          <w:rFonts w:ascii="Times New Roman" w:hAnsi="Times New Roman"/>
          <w:sz w:val="24"/>
        </w:rPr>
        <w:t>Four pairwise outliers exceeded the z &gt; 2.0 threshold (Table 1). Three involved East Asian populations paired with PEL (Peru): KHV–PEL (z = 2.14, permutation p = 0.002), CHS–PEL (z = 2.06, p = 0.004), and CDX–PEL (z = 2.01, p = 0.011). These pairs are separated by 18,000–19,500 km yet share Neanderthal introgression profiles at levels expected for populations only ~5,000 km apart. The fourth outlier, CLM–Pathan (z = 2.01, p = 0.009), connects Colombia with Pakistan, consistent with the known South Asian genetic component in Colombian mestizos. The East Asia–Peru outliers are explicable only by shared ancestry via the Beringian migration corridor, demonstrating that the framework recovers genuine migration signals.</w:t>
      </w:r>
    </w:p>
    <w:p>
      <w:pPr>
        <w:jc w:val="center"/>
      </w:pPr>
      <w:r>
        <w:drawing>
          <wp:inline xmlns:a="http://schemas.openxmlformats.org/drawingml/2006/main" xmlns:pic="http://schemas.openxmlformats.org/drawingml/2006/picture">
            <wp:extent cx="5486400" cy="2540767"/>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40767"/>
                    </a:xfrm>
                    <a:prstGeom prst="rect"/>
                  </pic:spPr>
                </pic:pic>
              </a:graphicData>
            </a:graphic>
          </wp:inline>
        </w:drawing>
      </w:r>
    </w:p>
    <w:p>
      <w:r>
        <w:rPr>
          <w:b/>
          <w:sz w:val="22"/>
        </w:rPr>
        <w:t xml:space="preserve">Figure 1. </w:t>
      </w:r>
      <w:r>
        <w:rPr>
          <w:sz w:val="22"/>
        </w:rPr>
        <w:t>Archaic DNA sharing correlation vs. geographic distance. (A) Neanderthal segment sharing: blue dots = non-admixed pairs, red triangles = pairs involving recently admixed populations (CLM, PUR, MXL, PEL, GIH). Dashed line: regression excluding admixed (r = −0.62). Grey band: ±2 SD prediction interval. Labelled points are pairwise outliers (z &gt; 2.0). (B) Denisovan introgression-profile correlation, illustrating the Wallace Line discontinuity: Oceanian populations (purple diamonds) cluster separately with high intra-group sharing but near-zero sharing with non-Oceanian populations. Data: hmmix introgression segments (Zenodo:14136628), 66 populations, 3,134 individuals, 500 kb bins.</w:t>
      </w:r>
    </w:p>
    <w:p>
      <w:r>
        <w:rPr>
          <w:b/>
          <w:sz w:val="20"/>
        </w:rPr>
        <w:t xml:space="preserve">Table 1. </w:t>
      </w:r>
      <w:r>
        <w:rPr>
          <w:sz w:val="20"/>
        </w:rPr>
        <w:t>Neanderthal introgression-profile outliers (z &gt; 2.0). Pairs whose sharing exceeds the distance-based prediction by &gt;2 SD. Permutation p-values from 5,000 iterations.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Population 1</w:t>
            </w:r>
          </w:p>
        </w:tc>
        <w:tc>
          <w:tcPr>
            <w:tcW w:type="dxa" w:w="1337"/>
          </w:tcPr>
          <w:p>
            <w:r>
              <w:rPr>
                <w:b/>
                <w:sz w:val="18"/>
              </w:rPr>
              <w:t>Population 2</w:t>
            </w:r>
          </w:p>
        </w:tc>
        <w:tc>
          <w:tcPr>
            <w:tcW w:type="dxa" w:w="1337"/>
          </w:tcPr>
          <w:p>
            <w:r>
              <w:rPr>
                <w:b/>
                <w:sz w:val="18"/>
              </w:rPr>
              <w:t>Region 1</w:t>
            </w:r>
          </w:p>
        </w:tc>
        <w:tc>
          <w:tcPr>
            <w:tcW w:type="dxa" w:w="1337"/>
          </w:tcPr>
          <w:p>
            <w:r>
              <w:rPr>
                <w:b/>
                <w:sz w:val="18"/>
              </w:rPr>
              <w:t>Region 2</w:t>
            </w:r>
          </w:p>
        </w:tc>
        <w:tc>
          <w:tcPr>
            <w:tcW w:type="dxa" w:w="1337"/>
          </w:tcPr>
          <w:p>
            <w:r>
              <w:rPr>
                <w:b/>
                <w:sz w:val="18"/>
              </w:rPr>
              <w:t>Distance (km)</w:t>
            </w:r>
          </w:p>
        </w:tc>
        <w:tc>
          <w:tcPr>
            <w:tcW w:type="dxa" w:w="1337"/>
          </w:tcPr>
          <w:p>
            <w:r>
              <w:rPr>
                <w:b/>
                <w:sz w:val="18"/>
              </w:rPr>
              <w:t>Sharing (r)</w:t>
            </w:r>
          </w:p>
        </w:tc>
        <w:tc>
          <w:tcPr>
            <w:tcW w:type="dxa" w:w="1337"/>
          </w:tcPr>
          <w:p>
            <w:r>
              <w:rPr>
                <w:b/>
                <w:sz w:val="18"/>
              </w:rPr>
              <w:t>z-score</w:t>
            </w:r>
          </w:p>
        </w:tc>
      </w:tr>
      <w:tr>
        <w:tc>
          <w:tcPr>
            <w:tcW w:type="dxa" w:w="1337"/>
          </w:tcPr>
          <w:p>
            <w:r>
              <w:rPr>
                <w:sz w:val="18"/>
              </w:rPr>
              <w:t>KHV</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19,465</w:t>
            </w:r>
          </w:p>
        </w:tc>
        <w:tc>
          <w:tcPr>
            <w:tcW w:type="dxa" w:w="1337"/>
          </w:tcPr>
          <w:p>
            <w:r>
              <w:rPr>
                <w:sz w:val="18"/>
              </w:rPr>
              <w:t>0.662</w:t>
            </w:r>
          </w:p>
        </w:tc>
        <w:tc>
          <w:tcPr>
            <w:tcW w:type="dxa" w:w="1337"/>
          </w:tcPr>
          <w:p>
            <w:r>
              <w:rPr>
                <w:sz w:val="18"/>
              </w:rPr>
              <w:t>2.14</w:t>
            </w:r>
          </w:p>
        </w:tc>
      </w:tr>
      <w:tr>
        <w:tc>
          <w:tcPr>
            <w:tcW w:type="dxa" w:w="1337"/>
          </w:tcPr>
          <w:p>
            <w:r>
              <w:rPr>
                <w:sz w:val="18"/>
              </w:rPr>
              <w:t>CHS</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18,369</w:t>
            </w:r>
          </w:p>
        </w:tc>
        <w:tc>
          <w:tcPr>
            <w:tcW w:type="dxa" w:w="1337"/>
          </w:tcPr>
          <w:p>
            <w:r>
              <w:rPr>
                <w:sz w:val="18"/>
              </w:rPr>
              <w:t>0.673</w:t>
            </w:r>
          </w:p>
        </w:tc>
        <w:tc>
          <w:tcPr>
            <w:tcW w:type="dxa" w:w="1337"/>
          </w:tcPr>
          <w:p>
            <w:r>
              <w:rPr>
                <w:sz w:val="18"/>
              </w:rPr>
              <w:t>2.06</w:t>
            </w:r>
          </w:p>
        </w:tc>
      </w:tr>
      <w:tr>
        <w:tc>
          <w:tcPr>
            <w:tcW w:type="dxa" w:w="1337"/>
          </w:tcPr>
          <w:p>
            <w:r>
              <w:rPr>
                <w:sz w:val="18"/>
              </w:rPr>
              <w:t>CDX</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18,858</w:t>
            </w:r>
          </w:p>
        </w:tc>
        <w:tc>
          <w:tcPr>
            <w:tcW w:type="dxa" w:w="1337"/>
          </w:tcPr>
          <w:p>
            <w:r>
              <w:rPr>
                <w:sz w:val="18"/>
              </w:rPr>
              <w:t>0.651</w:t>
            </w:r>
          </w:p>
        </w:tc>
        <w:tc>
          <w:tcPr>
            <w:tcW w:type="dxa" w:w="1337"/>
          </w:tcPr>
          <w:p>
            <w:r>
              <w:rPr>
                <w:sz w:val="18"/>
              </w:rPr>
              <w:t>2.01</w:t>
            </w:r>
          </w:p>
        </w:tc>
      </w:tr>
      <w:tr>
        <w:tc>
          <w:tcPr>
            <w:tcW w:type="dxa" w:w="1337"/>
          </w:tcPr>
          <w:p>
            <w:r>
              <w:rPr>
                <w:sz w:val="18"/>
              </w:rPr>
              <w:t>CLM</w:t>
            </w:r>
          </w:p>
        </w:tc>
        <w:tc>
          <w:tcPr>
            <w:tcW w:type="dxa" w:w="1337"/>
          </w:tcPr>
          <w:p>
            <w:r>
              <w:rPr>
                <w:sz w:val="18"/>
              </w:rPr>
              <w:t>Pathan</w:t>
            </w:r>
          </w:p>
        </w:tc>
        <w:tc>
          <w:tcPr>
            <w:tcW w:type="dxa" w:w="1337"/>
          </w:tcPr>
          <w:p>
            <w:r>
              <w:rPr>
                <w:sz w:val="18"/>
              </w:rPr>
              <w:t>Americas</w:t>
            </w:r>
          </w:p>
        </w:tc>
        <w:tc>
          <w:tcPr>
            <w:tcW w:type="dxa" w:w="1337"/>
          </w:tcPr>
          <w:p>
            <w:r>
              <w:rPr>
                <w:sz w:val="18"/>
              </w:rPr>
              <w:t>C/S Asia</w:t>
            </w:r>
          </w:p>
        </w:tc>
        <w:tc>
          <w:tcPr>
            <w:tcW w:type="dxa" w:w="1337"/>
          </w:tcPr>
          <w:p>
            <w:r>
              <w:rPr>
                <w:sz w:val="18"/>
              </w:rPr>
              <w:t>14,399</w:t>
            </w:r>
          </w:p>
        </w:tc>
        <w:tc>
          <w:tcPr>
            <w:tcW w:type="dxa" w:w="1337"/>
          </w:tcPr>
          <w:p>
            <w:r>
              <w:rPr>
                <w:sz w:val="18"/>
              </w:rPr>
              <w:t>0.763</w:t>
            </w:r>
          </w:p>
        </w:tc>
        <w:tc>
          <w:tcPr>
            <w:tcW w:type="dxa" w:w="1337"/>
          </w:tcPr>
          <w:p>
            <w:r>
              <w:rPr>
                <w:sz w:val="18"/>
              </w:rPr>
              <w:t>2.01</w:t>
            </w:r>
          </w:p>
        </w:tc>
      </w:tr>
    </w:tbl>
    <w:p>
      <w:pPr>
        <w:pStyle w:val="Heading2"/>
      </w:pPr>
      <w:r>
        <w:rPr>
          <w:color w:val="000000"/>
        </w:rPr>
        <w:t>Denisovan DNA delineates the Wallace Line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separating the Sunda Shelf from Wallacea (Figure 2). West of the line, Denisovan ancestry is uniformly low (≤0.1%); east of it, ancestry increases sharply, reaching 3–3.5% in Papuans. The Lydekker Line, the eastern biogeographic boundary marking the edge of the Sahul Shelf, further delineates the zone of maximum Denisovan introgression.</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Figure 3. </w:t>
      </w:r>
      <w:r>
        <w:rPr>
          <w:sz w:val="22"/>
        </w:rPr>
        <w:t>Minard-style flow visualization of Homo sapiens Out-of-Africa migration with archaic admixture events. Band width represents relative population size (reflecting decreasing genetic diversity with distance from Africa). Stars mark admixture events: Neanderthal admixture ~47,000 years ago (affecting all non-African lineages), Denisovan admixture 1 ~45,000 years ago (Oceanian lineage, 3-5%), and Denisovan admixture 2 ~30,000 years ago (East Asian lineage, ~0.06%). Yellow and pink shaded regions indicate Neanderthal and Denisovan geographic ranges, respectively.</w:t>
      </w:r>
    </w:p>
    <w:p>
      <w:pPr>
        <w:pStyle w:val="Heading2"/>
      </w:pPr>
      <w:r>
        <w:rPr>
          <w:color w:val="000000"/>
        </w:rPr>
        <w:t>Neanderthal outliers highlight trans-Pacific connections</w:t>
      </w:r>
    </w:p>
    <w:p>
      <w:pPr/>
      <w:r>
        <w:rPr>
          <w:rFonts w:ascii="Times New Roman" w:hAnsi="Times New Roman"/>
          <w:sz w:val="24"/>
        </w:rPr>
        <w:t>The four pairwise outliers (Table 1) present a coherent geographic picture. The three East Asia–Peru pairs (KHV–PEL z = 2.14, CHS–PEL z = 2.06, CDX–PEL z = 2.01; all permutation p &lt; 0.02) are separated by 18,000–19,500 km yet share Neanderthal introgression profiles at levels expected for populations only ~5,000 km apart. This signal is explicable only by shared ancestry via the Beringian migration corridor and demonstrates that the framework recovers genuine migration signals.</w:t>
      </w:r>
    </w:p>
    <w:p>
      <w:pPr/>
      <w:r>
        <w:rPr>
          <w:rFonts w:ascii="Times New Roman" w:hAnsi="Times New Roman"/>
          <w:sz w:val="24"/>
        </w:rPr>
        <w:t>The fourth outlier, CLM–Pathan (z = 2.01, p = 0.009), connects Colombia with Pakistan, consistent with the known South Asian genetic component in Colombian mestizos. The consistent directionality of the top residuals — preferentially connecting East Asian and American populations rather than, for example, European and Oceanian populations — supports the hypothesis that Neanderthal segment sharing retains a genuine Beringian crossing signal. Larger sample sizes (&gt;100 individuals per population) would provide additional statistical power for detecting subtler migration corridors.</w:t>
      </w:r>
    </w:p>
    <w:p>
      <w:pPr>
        <w:jc w:val="center"/>
      </w:pPr>
      <w:r>
        <w:drawing>
          <wp:inline xmlns:a="http://schemas.openxmlformats.org/drawingml/2006/main" xmlns:pic="http://schemas.openxmlformats.org/drawingml/2006/picture">
            <wp:extent cx="5486400" cy="3253109"/>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486400" cy="3253109"/>
                    </a:xfrm>
                    <a:prstGeom prst="rect"/>
                  </pic:spPr>
                </pic:pic>
              </a:graphicData>
            </a:graphic>
          </wp:inline>
        </w:drawing>
      </w:r>
    </w:p>
    <w:p>
      <w:r>
        <w:rPr>
          <w:b/>
          <w:sz w:val="22"/>
        </w:rPr>
        <w:t xml:space="preserve">Figure 4. </w:t>
      </w:r>
      <w:r>
        <w:rPr>
          <w:sz w:val="22"/>
        </w:rPr>
        <w:t>Sensitivity analysis: effect of excluding recently admixed populations. Grey dots: all 2,145 population pairs. Blue solid line: regression for all pairs (r = −0.49). Red dashed line: regression excluding admixed pairs (r = −0.62). The strengthening of the correlation after removing admixed populations (CLM, PUR, MXL, PEL, GIH) confirms that recent post-Columbian admixture inflates cross-continental sharing and must be controlled for.</w:t>
      </w:r>
    </w:p>
    <w:p>
      <w:pPr>
        <w:pStyle w:val="Heading2"/>
      </w:pPr>
      <w:r>
        <w:rPr>
          <w:color w:val="000000"/>
        </w:rPr>
        <w:t>From the ABO locus to the genome-wide hypothesis</w:t>
      </w:r>
    </w:p>
    <w:p>
      <w:pPr/>
      <w:r>
        <w:rPr>
          <w:rFonts w:ascii="Times New Roman" w:hAnsi="Times New Roman"/>
          <w:sz w:val="24"/>
        </w:rPr>
        <w:t>The genome-wide analysis presented above grew out of a focal investigation of archaic introgression at the ABO blood group gene (chr9:133,233,278–133,276,024; GRCh38). The ABO locus is under balancing selection related to pathogen resistance</w:t>
      </w:r>
      <w:r>
        <w:rPr>
          <w:sz w:val="20"/>
          <w:vertAlign w:val="superscript"/>
        </w:rPr>
        <w:t>6,10</w:t>
      </w:r>
      <w:r>
        <w:rPr>
          <w:rFonts w:ascii="Times New Roman" w:hAnsi="Times New Roman"/>
          <w:sz w:val="24"/>
        </w:rPr>
        <w:t xml:space="preserve"> and was chosen as an initial target because of the striking near-fixation of blood group O in Native American populations — with frequencies reaching 95–100% in isolated groups, established prior to European contact</w:t>
      </w:r>
      <w:r>
        <w:rPr>
          <w:sz w:val="20"/>
          <w:vertAlign w:val="superscript"/>
        </w:rPr>
        <w:t>11</w:t>
      </w:r>
      <w:r>
        <w:rPr>
          <w:rFonts w:ascii="Times New Roman" w:hAnsi="Times New Roman"/>
          <w:sz w:val="24"/>
        </w:rPr>
        <w:t xml:space="preserve"> — and the Neanderthal origin of the O2 sub-allele, defined by the frameshift deletion 261delG (rs8176719).</w:t>
      </w:r>
      <w:r>
        <w:rPr>
          <w:sz w:val="20"/>
          <w:vertAlign w:val="superscript"/>
        </w:rPr>
        <w:t>12</w:t>
      </w:r>
      <w:r>
        <w:rPr>
          <w:rFonts w:ascii="Times New Roman" w:hAnsi="Times New Roman"/>
          <w:sz w:val="24"/>
        </w:rPr>
      </w:r>
    </w:p>
    <w:p>
      <w:pPr/>
      <w:r>
        <w:rPr>
          <w:rFonts w:ascii="Times New Roman" w:hAnsi="Times New Roman"/>
          <w:sz w:val="24"/>
        </w:rPr>
        <w:t>By analyzing 517 hmmix segments overlapping the ABO extended region (chr9:133.0–133.5 Mb) across all 66 populations, we found dramatic regional differences in Neanderthal sub-lineage composition (Figure 5; Table 2). East Asian populations (n = 45 segments) showed predominantly Altai (58%) and Chagyrskaya (40%) types with minimal Vindija representation (2%). Oceanian populations (n = 25 segments) showed exclusively Altai (48%) and Chagyrskaya (52%) with zero Vindija. European populations showed a more balanced distribution: Vindija 36%, Altai 33%, Chagyrskaya 31% (n = 304 segments). Most remarkably, the only segments from pure Indigenous American individuals — Pima (HGDP01058) and Maya (HGDP00877) — were classified as 100% Vindija-type (n = 2). The Pima segment (chr9:133,254,000–133,513,000; 259 kb) directly overlapped the ABO gene, while the Maya segment (chr9:133,294,000–133,502,000; 208 kb) lay in the immediate downstream region.</w:t>
      </w:r>
    </w:p>
    <w:p>
      <w:pPr>
        <w:jc w:val="center"/>
      </w:pPr>
      <w:r>
        <w:drawing>
          <wp:inline xmlns:a="http://schemas.openxmlformats.org/drawingml/2006/main" xmlns:pic="http://schemas.openxmlformats.org/drawingml/2006/picture">
            <wp:extent cx="5486400" cy="2134111"/>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486400" cy="2134111"/>
                    </a:xfrm>
                    <a:prstGeom prst="rect"/>
                  </pic:spPr>
                </pic:pic>
              </a:graphicData>
            </a:graphic>
          </wp:inline>
        </w:drawing>
      </w:r>
    </w:p>
    <w:p>
      <w:r>
        <w:rPr>
          <w:b/>
          <w:sz w:val="22"/>
        </w:rPr>
        <w:t xml:space="preserve">Figure 5. </w:t>
      </w:r>
      <w:r>
        <w:rPr>
          <w:sz w:val="22"/>
        </w:rPr>
        <w:t>Neanderthal sub-lineage composition at the ABO locus. Proportion of Altai-, Chagyrskaya-, and Vindija-type Neanderthal segments by geographic region. Indigenous Americans carry exclusively Vindija-type (100%), in sharp contrast to East Asian (Altai 58%, Chagyrskaya 40%) and Oceanian (Altai 48%, Chagyrskaya 52%) populations. European populations show a balanced distribution (Vindija 36%, Altai 33%, Chagyrskaya 31%). Data: hmmix introgression segments, 517 segments in ABO extended region (chr9:133.0–133.5 Mb), 66 populations.</w:t>
      </w:r>
    </w:p>
    <w:p>
      <w:r>
        <w:rPr>
          <w:b/>
          <w:sz w:val="20"/>
        </w:rPr>
        <w:t xml:space="preserve">Table 2. </w:t>
      </w:r>
      <w:r>
        <w:rPr>
          <w:sz w:val="20"/>
        </w:rPr>
        <w:t>Neanderthal sub-lineage composition at the ABO locus by geographic region. The percentage of introgression segments closest to each Neanderthal reference genome (Altai, Vindija, Chagyrskaya) is shown. n = number of Neanderthal segments overlapping the ABO region (chr9:133.0–133.5 Mb).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Region</w:t>
            </w:r>
          </w:p>
        </w:tc>
        <w:tc>
          <w:tcPr>
            <w:tcW w:type="dxa" w:w="1872"/>
          </w:tcPr>
          <w:p>
            <w:r>
              <w:rPr>
                <w:b/>
                <w:sz w:val="18"/>
              </w:rPr>
              <w:t>n</w:t>
            </w:r>
          </w:p>
        </w:tc>
        <w:tc>
          <w:tcPr>
            <w:tcW w:type="dxa" w:w="1872"/>
          </w:tcPr>
          <w:p>
            <w:r>
              <w:rPr>
                <w:b/>
                <w:sz w:val="18"/>
              </w:rPr>
              <w:t>Altai (%)</w:t>
            </w:r>
          </w:p>
        </w:tc>
        <w:tc>
          <w:tcPr>
            <w:tcW w:type="dxa" w:w="1872"/>
          </w:tcPr>
          <w:p>
            <w:r>
              <w:rPr>
                <w:b/>
                <w:sz w:val="18"/>
              </w:rPr>
              <w:t>Vindija (%)</w:t>
            </w:r>
          </w:p>
        </w:tc>
        <w:tc>
          <w:tcPr>
            <w:tcW w:type="dxa" w:w="1872"/>
          </w:tcPr>
          <w:p>
            <w:r>
              <w:rPr>
                <w:b/>
                <w:sz w:val="18"/>
              </w:rPr>
              <w:t>Chagyrskaya (%)</w:t>
            </w:r>
          </w:p>
        </w:tc>
      </w:tr>
      <w:tr>
        <w:tc>
          <w:tcPr>
            <w:tcW w:type="dxa" w:w="1872"/>
          </w:tcPr>
          <w:p>
            <w:r>
              <w:rPr>
                <w:sz w:val="18"/>
              </w:rPr>
              <w:t>East Asia</w:t>
            </w:r>
          </w:p>
        </w:tc>
        <w:tc>
          <w:tcPr>
            <w:tcW w:type="dxa" w:w="1872"/>
          </w:tcPr>
          <w:p>
            <w:r>
              <w:rPr>
                <w:sz w:val="18"/>
              </w:rPr>
              <w:t>45</w:t>
            </w:r>
          </w:p>
        </w:tc>
        <w:tc>
          <w:tcPr>
            <w:tcW w:type="dxa" w:w="1872"/>
          </w:tcPr>
          <w:p>
            <w:r>
              <w:rPr>
                <w:sz w:val="18"/>
              </w:rPr>
              <w:t>58</w:t>
            </w:r>
          </w:p>
        </w:tc>
        <w:tc>
          <w:tcPr>
            <w:tcW w:type="dxa" w:w="1872"/>
          </w:tcPr>
          <w:p>
            <w:r>
              <w:rPr>
                <w:sz w:val="18"/>
              </w:rPr>
              <w:t>2</w:t>
            </w:r>
          </w:p>
        </w:tc>
        <w:tc>
          <w:tcPr>
            <w:tcW w:type="dxa" w:w="1872"/>
          </w:tcPr>
          <w:p>
            <w:r>
              <w:rPr>
                <w:sz w:val="18"/>
              </w:rPr>
              <w:t>40</w:t>
            </w:r>
          </w:p>
        </w:tc>
      </w:tr>
      <w:tr>
        <w:tc>
          <w:tcPr>
            <w:tcW w:type="dxa" w:w="1872"/>
          </w:tcPr>
          <w:p>
            <w:r>
              <w:rPr>
                <w:sz w:val="18"/>
              </w:rPr>
              <w:t>Europe</w:t>
            </w:r>
          </w:p>
        </w:tc>
        <w:tc>
          <w:tcPr>
            <w:tcW w:type="dxa" w:w="1872"/>
          </w:tcPr>
          <w:p>
            <w:r>
              <w:rPr>
                <w:sz w:val="18"/>
              </w:rPr>
              <w:t>304</w:t>
            </w:r>
          </w:p>
        </w:tc>
        <w:tc>
          <w:tcPr>
            <w:tcW w:type="dxa" w:w="1872"/>
          </w:tcPr>
          <w:p>
            <w:r>
              <w:rPr>
                <w:sz w:val="18"/>
              </w:rPr>
              <w:t>33</w:t>
            </w:r>
          </w:p>
        </w:tc>
        <w:tc>
          <w:tcPr>
            <w:tcW w:type="dxa" w:w="1872"/>
          </w:tcPr>
          <w:p>
            <w:r>
              <w:rPr>
                <w:sz w:val="18"/>
              </w:rPr>
              <w:t>36</w:t>
            </w:r>
          </w:p>
        </w:tc>
        <w:tc>
          <w:tcPr>
            <w:tcW w:type="dxa" w:w="1872"/>
          </w:tcPr>
          <w:p>
            <w:r>
              <w:rPr>
                <w:sz w:val="18"/>
              </w:rPr>
              <w:t>31</w:t>
            </w:r>
          </w:p>
        </w:tc>
      </w:tr>
      <w:tr>
        <w:tc>
          <w:tcPr>
            <w:tcW w:type="dxa" w:w="1872"/>
          </w:tcPr>
          <w:p>
            <w:r>
              <w:rPr>
                <w:sz w:val="18"/>
              </w:rPr>
              <w:t>Americas</w:t>
            </w:r>
          </w:p>
        </w:tc>
        <w:tc>
          <w:tcPr>
            <w:tcW w:type="dxa" w:w="1872"/>
          </w:tcPr>
          <w:p>
            <w:r>
              <w:rPr>
                <w:sz w:val="18"/>
              </w:rPr>
              <w:t>2</w:t>
            </w:r>
          </w:p>
        </w:tc>
        <w:tc>
          <w:tcPr>
            <w:tcW w:type="dxa" w:w="1872"/>
          </w:tcPr>
          <w:p>
            <w:r>
              <w:rPr>
                <w:sz w:val="18"/>
              </w:rPr>
              <w:t>0</w:t>
            </w:r>
          </w:p>
        </w:tc>
        <w:tc>
          <w:tcPr>
            <w:tcW w:type="dxa" w:w="1872"/>
          </w:tcPr>
          <w:p>
            <w:r>
              <w:rPr>
                <w:sz w:val="18"/>
              </w:rPr>
              <w:t>100</w:t>
            </w:r>
          </w:p>
        </w:tc>
        <w:tc>
          <w:tcPr>
            <w:tcW w:type="dxa" w:w="1872"/>
          </w:tcPr>
          <w:p>
            <w:r>
              <w:rPr>
                <w:sz w:val="18"/>
              </w:rPr>
              <w:t>0</w:t>
            </w:r>
          </w:p>
        </w:tc>
      </w:tr>
      <w:tr>
        <w:tc>
          <w:tcPr>
            <w:tcW w:type="dxa" w:w="1872"/>
          </w:tcPr>
          <w:p>
            <w:r>
              <w:rPr>
                <w:sz w:val="18"/>
              </w:rPr>
              <w:t>South Asia</w:t>
            </w:r>
          </w:p>
        </w:tc>
        <w:tc>
          <w:tcPr>
            <w:tcW w:type="dxa" w:w="1872"/>
          </w:tcPr>
          <w:p>
            <w:r>
              <w:rPr>
                <w:sz w:val="18"/>
              </w:rPr>
              <w:t>31</w:t>
            </w:r>
          </w:p>
        </w:tc>
        <w:tc>
          <w:tcPr>
            <w:tcW w:type="dxa" w:w="1872"/>
          </w:tcPr>
          <w:p>
            <w:r>
              <w:rPr>
                <w:sz w:val="18"/>
              </w:rPr>
              <w:t>35</w:t>
            </w:r>
          </w:p>
        </w:tc>
        <w:tc>
          <w:tcPr>
            <w:tcW w:type="dxa" w:w="1872"/>
          </w:tcPr>
          <w:p>
            <w:r>
              <w:rPr>
                <w:sz w:val="18"/>
              </w:rPr>
              <w:t>19</w:t>
            </w:r>
          </w:p>
        </w:tc>
        <w:tc>
          <w:tcPr>
            <w:tcW w:type="dxa" w:w="1872"/>
          </w:tcPr>
          <w:p>
            <w:r>
              <w:rPr>
                <w:sz w:val="18"/>
              </w:rPr>
              <w:t>45</w:t>
            </w:r>
          </w:p>
        </w:tc>
      </w:tr>
      <w:tr>
        <w:tc>
          <w:tcPr>
            <w:tcW w:type="dxa" w:w="1872"/>
          </w:tcPr>
          <w:p>
            <w:r>
              <w:rPr>
                <w:sz w:val="18"/>
              </w:rPr>
              <w:t>Middle East</w:t>
            </w:r>
          </w:p>
        </w:tc>
        <w:tc>
          <w:tcPr>
            <w:tcW w:type="dxa" w:w="1872"/>
          </w:tcPr>
          <w:p>
            <w:r>
              <w:rPr>
                <w:sz w:val="18"/>
              </w:rPr>
              <w:t>8</w:t>
            </w:r>
          </w:p>
        </w:tc>
        <w:tc>
          <w:tcPr>
            <w:tcW w:type="dxa" w:w="1872"/>
          </w:tcPr>
          <w:p>
            <w:r>
              <w:rPr>
                <w:sz w:val="18"/>
              </w:rPr>
              <w:t>88</w:t>
            </w:r>
          </w:p>
        </w:tc>
        <w:tc>
          <w:tcPr>
            <w:tcW w:type="dxa" w:w="1872"/>
          </w:tcPr>
          <w:p>
            <w:r>
              <w:rPr>
                <w:sz w:val="18"/>
              </w:rPr>
              <w:t>0</w:t>
            </w:r>
          </w:p>
        </w:tc>
        <w:tc>
          <w:tcPr>
            <w:tcW w:type="dxa" w:w="1872"/>
          </w:tcPr>
          <w:p>
            <w:r>
              <w:rPr>
                <w:sz w:val="18"/>
              </w:rPr>
              <w:t>12</w:t>
            </w:r>
          </w:p>
        </w:tc>
      </w:tr>
      <w:tr>
        <w:tc>
          <w:tcPr>
            <w:tcW w:type="dxa" w:w="1872"/>
          </w:tcPr>
          <w:p>
            <w:r>
              <w:rPr>
                <w:sz w:val="18"/>
              </w:rPr>
              <w:t>Oceania</w:t>
            </w:r>
          </w:p>
        </w:tc>
        <w:tc>
          <w:tcPr>
            <w:tcW w:type="dxa" w:w="1872"/>
          </w:tcPr>
          <w:p>
            <w:r>
              <w:rPr>
                <w:sz w:val="18"/>
              </w:rPr>
              <w:t>25</w:t>
            </w:r>
          </w:p>
        </w:tc>
        <w:tc>
          <w:tcPr>
            <w:tcW w:type="dxa" w:w="1872"/>
          </w:tcPr>
          <w:p>
            <w:r>
              <w:rPr>
                <w:sz w:val="18"/>
              </w:rPr>
              <w:t>48</w:t>
            </w:r>
          </w:p>
        </w:tc>
        <w:tc>
          <w:tcPr>
            <w:tcW w:type="dxa" w:w="1872"/>
          </w:tcPr>
          <w:p>
            <w:r>
              <w:rPr>
                <w:sz w:val="18"/>
              </w:rPr>
              <w:t>0</w:t>
            </w:r>
          </w:p>
        </w:tc>
        <w:tc>
          <w:tcPr>
            <w:tcW w:type="dxa" w:w="1872"/>
          </w:tcPr>
          <w:p>
            <w:r>
              <w:rPr>
                <w:sz w:val="18"/>
              </w:rPr>
              <w:t>52</w:t>
            </w:r>
          </w:p>
        </w:tc>
      </w:tr>
    </w:tbl>
    <w:p>
      <w:pPr/>
      <w:r>
        <w:rPr>
          <w:rFonts w:ascii="Times New Roman" w:hAnsi="Times New Roman"/>
          <w:sz w:val="24"/>
        </w:rPr>
        <w:t>The Neanderthal-derived O2 allele (rs41302905) showed an unexpected geographic distribution (Figure 6). Solomon Islands populations exhibited the highest frequencies (5–16%),</w:t>
      </w:r>
      <w:r>
        <w:rPr>
          <w:sz w:val="20"/>
          <w:vertAlign w:val="superscript"/>
        </w:rPr>
        <w:t>13</w:t>
      </w:r>
      <w:r>
        <w:rPr>
          <w:rFonts w:ascii="Times New Roman" w:hAnsi="Times New Roman"/>
          <w:sz w:val="24"/>
        </w:rPr>
        <w:t xml:space="preserve"> followed by European populations (0.5–5%), while East Asian populations showed near-zero frequencies. This pattern inversely correlates with overall Neanderthal introgression frequency at the ABO locus, where Oceanian populations (Papuan Sepik 87.5%, Papuan Highlands 66.7%) greatly exceeded East Asian (~1.5%) and European (~6.6%) populations. The paradox of high O2 frequency in Oceanian populations despite zero Vindija-type Neanderthal segments at ABO suggests that the O2 allele may have been introduced through a distinct introgression event or maintained by balancing selection independently of sub-lineage identity.</w:t>
      </w:r>
    </w:p>
    <w:p>
      <w:pPr>
        <w:jc w:val="center"/>
      </w:pPr>
      <w:r>
        <w:drawing>
          <wp:inline xmlns:a="http://schemas.openxmlformats.org/drawingml/2006/main" xmlns:pic="http://schemas.openxmlformats.org/drawingml/2006/picture">
            <wp:extent cx="5486400" cy="2322681"/>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486400" cy="2322681"/>
                    </a:xfrm>
                    <a:prstGeom prst="rect"/>
                  </pic:spPr>
                </pic:pic>
              </a:graphicData>
            </a:graphic>
          </wp:inline>
        </w:drawing>
      </w:r>
    </w:p>
    <w:p>
      <w:r>
        <w:rPr>
          <w:b/>
          <w:sz w:val="22"/>
        </w:rPr>
        <w:t xml:space="preserve">Figure 6. </w:t>
      </w:r>
      <w:r>
        <w:rPr>
          <w:sz w:val="22"/>
        </w:rPr>
        <w:t>O2 allele frequency and Neanderthal introgression patterns at the ABO locus. (A) Frequency of the Neanderthal-derived O2 allele (rs41302905) across populations. Solomon Islands populations show the highest frequencies (5–16%), followed by European populations, while East Asian populations show near-zero frequencies. (B) Proportion of individuals carrying Neanderthal introgression near the ABO locus by population.</w:t>
      </w:r>
    </w:p>
    <w:p>
      <w:pPr/>
      <w:r>
        <w:rPr>
          <w:rFonts w:ascii="Times New Roman" w:hAnsi="Times New Roman"/>
          <w:sz w:val="24"/>
        </w:rPr>
        <w:t>The exclusive Vindija-type at ABO in Indigenous Americans, despite their predominantly East Asian ancestry (which carries Altai/Chagyrskaya type), is consistent with the Ancient North Eurasian (ANE) component of First American ancestry. Native Americans derive approximately 35% of their ancestry from ANE populations — represented by individuals such as Malta (MA-1, ~24 kya) — and 65% from East Asian–related populations.</w:t>
      </w:r>
      <w:r>
        <w:rPr>
          <w:sz w:val="20"/>
          <w:vertAlign w:val="superscript"/>
        </w:rPr>
        <w:t>14</w:t>
      </w:r>
      <w:r>
        <w:rPr>
          <w:rFonts w:ascii="Times New Roman" w:hAnsi="Times New Roman"/>
          <w:sz w:val="24"/>
        </w:rPr>
        <w:t xml:space="preserve"> Since western Eurasian lineages now carry predominantly Vindija-type at ABO (57%), the ANE component likely introduced Vindija-type segments that subsequently drifted to fixation during the Beringian bottleneck (~25–15 kya), when the founding population comprised an estimated 250–2,000 individuals (Figure 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486400" cy="3468936"/>
                    </a:xfrm>
                    <a:prstGeom prst="rect"/>
                  </pic:spPr>
                </pic:pic>
              </a:graphicData>
            </a:graphic>
          </wp:inline>
        </w:drawing>
      </w:r>
    </w:p>
    <w:p>
      <w:r>
        <w:rPr>
          <w:b/>
          <w:sz w:val="22"/>
        </w:rPr>
        <w:t xml:space="preserve">Figure 7. </w:t>
      </w:r>
      <w:r>
        <w:rPr>
          <w:sz w:val="22"/>
        </w:rPr>
        <w:t>Revised ANE dual ancestry model incorporating ancient DNA evidence. Yellow shading indicates the ANE lineage; blue indicates the East Asian lineage. Ancient DNA results from Petr et al. 2024 are annotated at respective time points. The model accounts for the exclusive Vindija-type Neanderthal DNA at ABO in Indigenous Americans through the ANE ancestry component (~35%), which carried Vindija-type segments from western Eurasia into the Americas.</w:t>
      </w:r>
    </w:p>
    <w:p>
      <w:pPr/>
      <w:r>
        <w:rPr>
          <w:rFonts w:ascii="Times New Roman" w:hAnsi="Times New Roman"/>
          <w:sz w:val="24"/>
        </w:rPr>
        <w:t>Direct examination of ancient genomes from Petr et al.</w:t>
      </w:r>
      <w:r>
        <w:rPr>
          <w:sz w:val="20"/>
          <w:vertAlign w:val="superscript"/>
        </w:rPr>
        <w:t>16</w:t>
      </w:r>
      <w:r>
        <w:rPr>
          <w:rFonts w:ascii="Times New Roman" w:hAnsi="Times New Roman"/>
          <w:sz w:val="24"/>
        </w:rPr>
        <w:t xml:space="preserve"> revealed a striking temporal shift at the ABO locus (Figure 8). All classifiable ancient segments (&gt;8 kya) from West Eurasian individuals were Altai-type (50%) or Chagyrskaya-type (50%), with zero Vindija representation (n = 10). In contrast, present-day West Eurasians showed 57.1% Vindija-type (n = 14; Fisher exact test, p = 0.003). The ANE-lineage individual Yana2 (31.6 kya) carried a Chagyrskaya-type segment upstream of ABO, while Malta (24 kya, ANE) and Anzick (12.6 kya, Clovis) lacked introgression at this locus entirely. This temporal shift — from Altai/Chagyrskaya dominance in the Upper Paleolithic to Vindija dominance in the present — parallels the genome-wide observation by Petr et al. that Neanderthal ancestry composition changed over time in European populations.</w:t>
      </w:r>
    </w:p>
    <w:p>
      <w:pPr>
        <w:jc w:val="center"/>
      </w:pPr>
      <w:r>
        <w:drawing>
          <wp:inline xmlns:a="http://schemas.openxmlformats.org/drawingml/2006/main" xmlns:pic="http://schemas.openxmlformats.org/drawingml/2006/picture">
            <wp:extent cx="5486400" cy="2712726"/>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486400" cy="2712726"/>
                    </a:xfrm>
                    <a:prstGeom prst="rect"/>
                  </pic:spPr>
                </pic:pic>
              </a:graphicData>
            </a:graphic>
          </wp:inline>
        </w:drawing>
      </w:r>
    </w:p>
    <w:p>
      <w:r>
        <w:rPr>
          <w:b/>
          <w:sz w:val="22"/>
        </w:rPr>
        <w:t xml:space="preserve">Figure 8. </w:t>
      </w:r>
      <w:r>
        <w:rPr>
          <w:sz w:val="22"/>
        </w:rPr>
        <w:t>Temporal dynamics of Neanderthal sub-lineage at the ABO locus. (A) Individual ancient genomes plotted by age, with color and shape indicating closest sub-lineage reference (Altai, Chagyrskaya, or Vindija). (B) Stacked bar comparison of sub-lineage composition between ancient (&gt;8 kya; all Altai/Chagyrskaya) and present-day (57.1% Vindija) West Eurasian populations. Fisher exact test p = 0.003.</w:t>
      </w:r>
    </w:p>
    <w:p>
      <w:pPr/>
      <w:r>
        <w:rPr>
          <w:rFonts w:ascii="Times New Roman" w:hAnsi="Times New Roman"/>
          <w:sz w:val="24"/>
        </w:rPr>
        <w:t>We further hypothesize that density-dependent pathogen selection explains why Indigenous Americans retained their ancestral sub-lineage composition while the Old World underwent progressive turnover toward Vindija-type. The Neolithic Demographic Transition in Eurasia — characterized by sedentism, animal domestication, and novel zoonotic diseases</w:t>
      </w:r>
      <w:r>
        <w:rPr>
          <w:sz w:val="20"/>
          <w:vertAlign w:val="superscript"/>
        </w:rPr>
        <w:t>17</w:t>
      </w:r>
      <w:r>
        <w:rPr>
          <w:rFonts w:ascii="Times New Roman" w:hAnsi="Times New Roman"/>
          <w:sz w:val="24"/>
        </w:rPr>
        <w:t xml:space="preserve"> — created selective pressures at immune-related loci including ABO,</w:t>
      </w:r>
      <w:r>
        <w:rPr>
          <w:sz w:val="20"/>
          <w:vertAlign w:val="superscript"/>
        </w:rPr>
        <w:t>10</w:t>
      </w:r>
      <w:r>
        <w:rPr>
          <w:rFonts w:ascii="Times New Roman" w:hAnsi="Times New Roman"/>
          <w:sz w:val="24"/>
        </w:rPr>
        <w:t xml:space="preserve"> driving sub-lineage turnover over ~10,000 years. Pre-contact American populations, with lower average population densities and fewer domesticated animal species, experienced weaker pathogen-driven selection, effectively ‘freezing’ the sub-lineage composition at the state present during initial colonization (~15 kya). This framework predicts a gradient: high-density post-Neolithic Eurasia shows rapid turnover (Vindija now 36–57%); East Asia retains Altai/Chagyrskaya (98%); and low-density Americas preserve 100% Vindija from the ANE component.</w:t>
      </w:r>
    </w:p>
    <w:p>
      <w:pPr/>
      <w:r>
        <w:rPr>
          <w:rFonts w:ascii="Times New Roman" w:hAnsi="Times New Roman"/>
          <w:sz w:val="24"/>
        </w:rPr>
        <w:t>These locus-specific findings — sub-lineage paradoxes reflecting ANE ancestry, temporal dynamics driven by pathogen selection, founder effects at ABO mirroring Beringian bottleneck signatures, and Denisovan segments found exclusively in South Asian populations (ITU: 10.3%, GIH: 9.7%) tracing indirect gene flow — demonstrated that archaic introgression patterns at even a single gene could encode rich migration history. This motivated the genome-wide extension: if one locus captures such detailed geographic and temporal signals, then the correlation of introgression patterns across ~6,000 genomic windows should provide a powerful tracer of population movements.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8</w:t>
      </w:r>
      <w:r>
        <w:rPr>
          <w:rFonts w:ascii="Times New Roman" w:hAnsi="Times New Roman"/>
          <w:sz w:val="24"/>
        </w:rPr>
        <w:t xml:space="preserve"> analyzed spatial gradients of aggregate Neanderthal ancestry proportions across Eurasian populations and recovered three migration waves. Our approach differs in four structural ways: (1) bivariate — we jointly analyze Neanderthal and Denisovan introgression, enabling the detection of the Wallace Line contrast that is invisible to Neanderthal-only analyses; (2) pairwise — we compare full introgression frequency profiles (~6,000 genomic bins) between population pairs, enabling the detection of specific migration corridors (Table 1); (3) locus-specific — we complement genome-wide analysis with focal investigation at ABO, where sub-lineage composition encodes migration history at higher resolution; and (4) hypothesis-generating — rather than fitting a model to recover known migrations, we derive six testable predictions from observed anomalies.</w:t>
      </w:r>
    </w:p>
    <w:p>
      <w:pPr/>
      <w:r>
        <w:rPr>
          <w:rFonts w:ascii="Times New Roman" w:hAnsi="Times New Roman"/>
          <w:sz w:val="24"/>
        </w:rPr>
        <w:t>Petr et al.</w:t>
      </w:r>
      <w:r>
        <w:rPr>
          <w:sz w:val="20"/>
          <w:vertAlign w:val="superscript"/>
        </w:rPr>
        <w:t>18</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19</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six specific, falsifiable predictions:</w:t>
      </w:r>
    </w:p>
    <w:p>
      <w:pPr/>
      <w:r>
        <w:rPr>
          <w:rFonts w:ascii="Times New Roman" w:hAnsi="Times New Roman"/>
          <w:sz w:val="24"/>
        </w:rPr>
        <w:t>Prediction 1: Ancient Beringian genomes will share introgression fingerprints with both East Asian and Native American populations. The East Asia–Peru outliers (Table 1) imply that the Beringian crossing preserved a shared introgression profile. Ancient genomes from Northeast Siberia (e.g., Yana RHS, Upward Sun River) should exhibit high introgression-profile correlation with both modern East Asian and South American populations (predicted r &gt; 0.6 with both groups, vs. r ~ 0.3–0.4 currently observed). If they do not, the outlier is more parsimoniously explained by convergent selection on introgressed loci.</w:t>
      </w:r>
    </w:p>
    <w:p>
      <w:pPr/>
      <w:r>
        <w:rPr>
          <w:rFonts w:ascii="Times New Roman" w:hAnsi="Times New Roman"/>
          <w:sz w:val="24"/>
        </w:rPr>
        <w:t>Prediction 2: ABO sub-lineage typing of ancient Beringian genomes will reveal the ANE mixing event. If the sub-lineage paradox is correctly attributed to ANE ancestry, then ancient genomes from Beringia or northeastern Siberia should carry a mixed ABO sub-lineage profile intermediate between the pure-Chagyrskaya East Asian pattern and the three-way American pattern. Specifically, the proportion of Altai/Vindija-type segments should increase moving westward from East Asia toward the ANE homeland.</w:t>
      </w:r>
      <w:r>
        <w:rPr>
          <w:sz w:val="20"/>
          <w:vertAlign w:val="superscript"/>
        </w:rPr>
        <w:t>14</w:t>
      </w:r>
      <w:r>
        <w:rPr>
          <w:rFonts w:ascii="Times New Roman" w:hAnsi="Times New Roman"/>
          <w:sz w:val="24"/>
        </w:rPr>
        <w:t xml:space="preserve"> The prediction fails if Beringian genomes show the pure-Chagyrskaya pattern of modern East Asians.</w:t>
      </w:r>
    </w:p>
    <w:p>
      <w:pPr/>
      <w:r>
        <w:rPr>
          <w:rFonts w:ascii="Times New Roman" w:hAnsi="Times New Roman"/>
          <w:sz w:val="24"/>
        </w:rPr>
        <w:t>Prediction 3: Denisovan segment sharing will identify the Austronesian expansion route. Austronesian-speaking populations from Taiwan through Island Southeast Asia to Polynesia are expected to show a gradient of Denisovan sharing that recapitulates their expansion trajectory. Specifically, Polynesian populations should share more Denisovan introgression-profile similarity with Moluccans and Nusa Tenggara populations than with mainland Southeast Asians, reflecting post-Wallace-Line admixture during the Austronesian expansion.</w:t>
      </w:r>
    </w:p>
    <w:p>
      <w:pPr/>
      <w:r>
        <w:rPr>
          <w:rFonts w:ascii="Times New Roman" w:hAnsi="Times New Roman"/>
          <w:sz w:val="24"/>
        </w:rPr>
        <w:t>Prediction 4: The O2 paradox will be resolved by density-dependent selection. The absence of the Neanderthal-derived O2 allele in East Asia despite high overall Neanderthal ancestry suggests purifying selection against O2 that is stronger in large, dense populations than in small island populations.</w:t>
      </w:r>
      <w:r>
        <w:rPr>
          <w:sz w:val="20"/>
          <w:vertAlign w:val="superscript"/>
        </w:rPr>
        <w:t>13</w:t>
      </w:r>
      <w:r>
        <w:rPr>
          <w:rFonts w:ascii="Times New Roman" w:hAnsi="Times New Roman"/>
          <w:sz w:val="24"/>
        </w:rPr>
        <w:t xml:space="preserve"> If correct, the O2 allele should be (i) present in ancient East Asian genomes from periods before population expansion (pre-Neolithic), and (ii) absent or declining in post-Neolithic samples as population size increased. Ancient DNA from early Jomon or pre-Neolithic Southeast Asian contexts could test this directly.</w:t>
      </w:r>
    </w:p>
    <w:p>
      <w:pPr/>
      <w:r>
        <w:rPr>
          <w:rFonts w:ascii="Times New Roman" w:hAnsi="Times New Roman"/>
          <w:sz w:val="24"/>
        </w:rPr>
        <w:t>Prediction 5: Population Y ancestry in Amazonian groups will be detectable via Denisovan segment subtype analysis. Skoglund et al. identified ~2% Australasian ancestry (‘Population Y’) in Amazonian groups (Suruí, Karitiana).</w:t>
      </w:r>
      <w:r>
        <w:rPr>
          <w:sz w:val="20"/>
          <w:vertAlign w:val="superscript"/>
        </w:rPr>
        <w:t>21</w:t>
      </w:r>
      <w:r>
        <w:rPr>
          <w:rFonts w:ascii="Times New Roman" w:hAnsi="Times New Roman"/>
          <w:sz w:val="24"/>
        </w:rPr>
        <w:t xml:space="preserve"> If this ancestry traversed Oceania, it should carry Oceanian-type Denisovan segments. A comparison of Denisovan haplotype subtypes</w:t>
      </w:r>
      <w:r>
        <w:rPr>
          <w:sz w:val="20"/>
          <w:vertAlign w:val="superscript"/>
        </w:rPr>
        <w:t>5</w:t>
      </w:r>
      <w:r>
        <w:rPr>
          <w:rFonts w:ascii="Times New Roman" w:hAnsi="Times New Roman"/>
          <w:sz w:val="24"/>
        </w:rPr>
        <w:t xml:space="preserve"> in Amazonian versus Oceanian populations could distinguish an Oceanian from a continental Southeast Asian route. Targeted haplotype analysis of known Denisovan-introgressed loci (e.g., EPAS1, TBX15) may provide sufficient power despite the expected low signal (~2% × 3% = 0.06%).</w:t>
      </w:r>
    </w:p>
    <w:p>
      <w:pPr/>
      <w:r>
        <w:rPr>
          <w:rFonts w:ascii="Times New Roman" w:hAnsi="Times New Roman"/>
          <w:sz w:val="24"/>
        </w:rPr>
        <w:t>Prediction 6: Denisovan ABO segments in South Asia derive from a distinct admixture event. The exclusive presence of Denisovan introgression at ABO in South Asian populations predicts that these segments derive from a Denisovan source lineage distinct from both the Oceanian-type and East Asian-type sources.</w:t>
      </w:r>
      <w:r>
        <w:rPr>
          <w:sz w:val="20"/>
          <w:vertAlign w:val="superscript"/>
        </w:rPr>
        <w:t>5</w:t>
      </w:r>
      <w:r>
        <w:rPr>
          <w:rFonts w:ascii="Times New Roman" w:hAnsi="Times New Roman"/>
          <w:sz w:val="24"/>
        </w:rPr>
        <w:t xml:space="preserve"> If genome-wide Denisovan ancestry in South Asians is further dissected using improved reference panels, the ABO-associated segments should cluster with a third Denisovan lineage not found in Oceanian or East Asian populations. This can be tested by phylogenetic analysis of the introgressed haplotypes.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9.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9" name="Picture 9"/>
            <wp:cNvGraphicFramePr>
              <a:graphicFrameLocks noChangeAspect="1"/>
            </wp:cNvGraphicFramePr>
            <a:graphic>
              <a:graphicData uri="http://schemas.openxmlformats.org/drawingml/2006/picture">
                <pic:pic>
                  <pic:nvPicPr>
                    <pic:cNvPr id="0" name="fig4_bivariate_world_map.png"/>
                    <pic:cNvPicPr/>
                  </pic:nvPicPr>
                  <pic:blipFill>
                    <a:blip r:embed="rId17"/>
                    <a:stretch>
                      <a:fillRect/>
                    </a:stretch>
                  </pic:blipFill>
                  <pic:spPr>
                    <a:xfrm>
                      <a:off x="0" y="0"/>
                      <a:ext cx="5486400" cy="3322646"/>
                    </a:xfrm>
                    <a:prstGeom prst="rect"/>
                  </pic:spPr>
                </pic:pic>
              </a:graphicData>
            </a:graphic>
          </wp:inline>
        </w:drawing>
      </w:r>
    </w:p>
    <w:p>
      <w:r>
        <w:rPr>
          <w:b/>
          <w:sz w:val="22"/>
        </w:rPr>
        <w:t xml:space="preserve">Figure 9.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The Wallace Line (red dashed) and Lydekker Line (green dotted) are shown.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 and Caveats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This study began with the observation of near-fixation of blood group O in Native American populations. Focal investigation of archaic introgression at the ABO locus revealed region-specific distributions of Vindija-type Neanderthal segments, a temporal sub-lineage turnover from ancient to modern populations, and evidence that density-dependent selection preserved ancestral patterns in the Americas. These locus-specific findings motivated the extension to genome-wide analysis.</w:t>
      </w:r>
    </w:p>
    <w:p>
      <w:pPr/>
      <w:r>
        <w:rPr>
          <w:rFonts w:ascii="Times New Roman" w:hAnsi="Times New Roman"/>
          <w:sz w:val="24"/>
        </w:rPr>
        <w:t>At the genome-wide level, we proposed that pairwise archaic introgression sharing can serve as an independent tracer of ancient human migration. Using publicly available data, we demonstrated that this metric captures biologically meaningful signals: the Denisovan Wallace Line boundary, Neanderthal-mediated Beringian connections, and confounding effects of post-Columbian admixture. These signals persist after correcting for confounders, though statistical power is reduced, indicating that larger datasets and more refined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