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 / Research Note (to be confirmed)</w:t>
      </w:r>
    </w:p>
    <w:p>
      <w:pPr>
        <w:jc w:val="center"/>
      </w:pPr>
      <w:r>
        <w:t>Approximate word count (main text incl. tables, excl. references): 1202</w:t>
      </w:r>
    </w:p>
    <w:p>
      <w:pPr>
        <w:jc w:val="center"/>
      </w:pPr>
      <w:r>
        <w:t>Note: Research Policy Full Article target is ~8,000–10,000 words; Research Note is 3,000–5,000 words. Expand or select article type accordingly.</w:t>
      </w:r>
    </w:p>
    <w:p>
      <w:pPr>
        <w:jc w:val="center"/>
      </w:pPr>
      <w:r>
        <w:t>Corresponding author: [To be completed / removed for double-blind review]</w:t>
      </w:r>
    </w:p>
    <w:p>
      <w:r>
        <w:br w:type="page"/>
      </w:r>
    </w:p>
    <w:p>
      <w:pPr>
        <w:pStyle w:val="Heading1"/>
      </w:pPr>
      <w:r>
        <w:t>Abstract</w:t>
      </w:r>
    </w:p>
    <w:p>
      <w:r>
        <w:t>International mobility can concentrate AI/ML researchers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T remain above M, but the closest point of no return is observed for the Japanese group, where a proportional change of 0.58 in d (critical factor 1.58×) would drive the pool to its threshold. The largest positive leverage comes from PI-driven inflow and the conversion of high-impact researchers into PIs, while the dominant negative leverage is researcher dropout. These results provide a quantitative framework for early, safety-factor-bound interventions that preserve civilisational diversity in AI/ML research.</w:t>
      </w:r>
    </w:p>
    <w:p>
      <w:r>
        <w:rPr>
          <w:b/>
        </w:rPr>
        <w:t xml:space="preserve">Keywords: </w:t>
      </w:r>
      <w:r>
        <w:t>researcher mobility; artificial intelligence; civilisation grouping; ordinary differential equations; point of no return; science policy;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is Japanese PI pool; d needs only 0.58 proportional change.</w:t>
      </w:r>
    </w:p>
    <w:p>
      <w:pPr>
        <w:pStyle w:val="ListBullet"/>
      </w:pPr>
      <w:r>
        <w:t>Dropout most negative; PI inflow and domestic promotion most positive.</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[To be completed / removed for double-blind review]</w:t>
      </w:r>
    </w:p>
    <w:p>
      <w:pPr>
        <w:pStyle w:val="Heading1"/>
      </w:pPr>
      <w:r>
        <w:t>1. Introduction</w:t>
      </w:r>
    </w:p>
    <w:p>
      <w:r>
        <w:t>Most debates on research mobility focus on net flows. Shifting attention to transition rates makes it possible to ask not only where researchers move, but which transitions must be altered to keep a community viable</w:t>
      </w:r>
      <w:r>
        <w:rPr>
          <w:vertAlign w:val="superscript"/>
        </w:rPr>
        <w:t>[1]</w:t>
      </w:r>
      <w:r>
        <w:t>, and the Huntington civilisation framework helps partition the world into culturally coherent research arenas</w:t>
      </w:r>
      <w:r>
        <w:rPr>
          <w:vertAlign w:val="superscript"/>
        </w:rPr>
        <w:t>[2]</w:t>
      </w:r>
      <w:r>
        <w:t>. We operationalise this idea by modelling the stock of active researchers in each of nine modified Huntington civilisations as a coupled system of ordinary differential equations. The model is fitted to real publication records from OpenAlex</w:t>
      </w:r>
      <w:r>
        <w:rPr>
          <w:vertAlign w:val="superscript"/>
        </w:rPr>
        <w:t>[3]</w:t>
      </w:r>
      <w:r>
        <w:t xml:space="preserve"> and used to locate a point of no return: the parameter region in which the domestic active pool falls below the minimum number of coauthors needed to sustain the field.</w:t>
      </w:r>
    </w:p>
    <w:p>
      <w:pPr>
        <w:pStyle w:val="Heading1"/>
      </w:pPr>
      <w:r>
        <w:t>2. Methods</w:t>
      </w:r>
    </w:p>
    <w:p>
      <w:pPr>
        <w:pStyle w:val="Heading2"/>
      </w:pPr>
      <w:r>
        <w:t>2.1 Data and grouping</w:t>
      </w:r>
    </w:p>
    <w:p>
      <w:r>
        <w:t>We extracted AI/ML works and author histories from the OpenAlex API for subfield `subfields/1702` (Artificial Intelligence), using works published between 2000 and 2023.</w:t>
      </w:r>
      <w:r>
        <w:rPr>
          <w:vertAlign w:val="superscript"/>
        </w:rPr>
        <w:t>[3]</w:t>
      </w:r>
      <w:r>
        <w:t xml:space="preserve"> Authors were assigned to a Huntington-derived civilisation by majority country of affiliated institutions: United States, Anglosphere ex-US, Continental Europe, Sinic, Japanese, Hindu, Islamic, Other Western, and Other Civilisations. The rationale for splitting the Western bloc and merging smaller civilisations is documented separately.</w:t>
      </w:r>
    </w:p>
    <w:p>
      <w:pPr>
        <w:pStyle w:val="Heading2"/>
      </w:pPr>
      <w:r>
        <w:t>2.2 Compartment model</w:t>
      </w:r>
    </w:p>
    <w:p>
      <w:r>
        <w:t>Each group has six compartments: domestic early-career (D), abroad early-career (A), domestic hit researchers (H_D), abroad hit researchers (H_A), domestic PIs (P_D), and abroad PIs (P_A). Transitions are early-career outflow (alpha) and return (beta), hit generation (h_D, h_A), PI promotion (p_D, p_A), and dropout (d). New entrants follow endogenous PI-driven inflow I(P_D) = I0 + r·P_D, with r capped at half the stability-critical value (safety factor 0.5).</w:t>
      </w:r>
    </w:p>
    <w:p>
      <w:pPr>
        <w:pStyle w:val="Heading2"/>
      </w:pPr>
      <w:r>
        <w:t>2.3 Minimum viable coauthor threshold</w:t>
      </w:r>
    </w:p>
    <w:p>
      <w:r>
        <w:t>For each group we computed the mean number of authors per work (c_bar) and the median number of distinct last-author groups per recent year (k). The minimum viable domestic active pool is M = k × c_bar. When the equilibrium T = D + H_D + P_D falls below M, the community can no longer produce works at the observed coauthor intensity and is treated as past the point of no return.</w:t>
      </w:r>
    </w:p>
    <w:p>
      <w:pPr>
        <w:pStyle w:val="Heading2"/>
      </w:pPr>
      <w:r>
        <w:t>2.4 Sensitivity and point-of-no-return scan</w:t>
      </w:r>
    </w:p>
    <w:p>
      <w:r>
        <w:t>We computed elasticities by perturbing each transition rate by 1% and re-solving the equilibrium. For point-of-no-return analysis we scaled each rate in turn until T reached M, recording the critical factor and its proximity, defined as |critical factor − 1| (the proportional change in that rate required to reach the threshold).</w:t>
      </w:r>
    </w:p>
    <w:p>
      <w:pPr>
        <w:pStyle w:val="Heading1"/>
      </w:pPr>
      <w:r>
        <w:t>3. Results</w:t>
      </w:r>
    </w:p>
    <w:p>
      <w:r>
        <w:t>Table 1 reports equilibrium domestic active pool T, minimum viable threshold M, and endogenous inflow parameters for the 9 groups. All groups remain above their threshold under the fitted model, but margins differ by an order of magnitude.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Group</w:t>
            </w:r>
          </w:p>
        </w:tc>
        <w:tc>
          <w:tcPr>
            <w:tcW w:type="dxa" w:w="1080"/>
          </w:tcPr>
          <w:p>
            <w:r>
              <w:t>T_eq</w:t>
            </w:r>
          </w:p>
        </w:tc>
        <w:tc>
          <w:tcPr>
            <w:tcW w:type="dxa" w:w="1080"/>
          </w:tcPr>
          <w:p>
            <w:r>
              <w:t>M</w:t>
            </w:r>
          </w:p>
        </w:tc>
        <w:tc>
          <w:tcPr>
            <w:tcW w:type="dxa" w:w="1080"/>
          </w:tcPr>
          <w:p>
            <w:r>
              <w:t>Margin</w:t>
            </w:r>
          </w:p>
        </w:tc>
        <w:tc>
          <w:tcPr>
            <w:tcW w:type="dxa" w:w="1080"/>
          </w:tcPr>
          <w:p>
            <w:r>
              <w:t>I0</w:t>
            </w:r>
          </w:p>
        </w:tc>
        <w:tc>
          <w:tcPr>
            <w:tcW w:type="dxa" w:w="1080"/>
          </w:tcPr>
          <w:p>
            <w:r>
              <w:t>r</w:t>
            </w:r>
          </w:p>
        </w:tc>
        <w:tc>
          <w:tcPr>
            <w:tcW w:type="dxa" w:w="1080"/>
          </w:tcPr>
          <w:p>
            <w:r>
              <w:t>r_obs</w:t>
            </w:r>
          </w:p>
        </w:tc>
        <w:tc>
          <w:tcPr>
            <w:tcW w:type="dxa" w:w="1080"/>
          </w:tcPr>
          <w:p>
            <w: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1156.27</w:t>
            </w:r>
          </w:p>
        </w:tc>
        <w:tc>
          <w:tcPr>
            <w:tcW w:type="dxa" w:w="1080"/>
          </w:tcPr>
          <w:p>
            <w:r>
              <w:t>129.07</w:t>
            </w:r>
          </w:p>
        </w:tc>
        <w:tc>
          <w:tcPr>
            <w:tcW w:type="dxa" w:w="1080"/>
          </w:tcPr>
          <w:p>
            <w:r>
              <w:t>1027.20</w:t>
            </w:r>
          </w:p>
        </w:tc>
        <w:tc>
          <w:tcPr>
            <w:tcW w:type="dxa" w:w="1080"/>
          </w:tcPr>
          <w:p>
            <w:r>
              <w:t>2.76</w:t>
            </w:r>
          </w:p>
        </w:tc>
        <w:tc>
          <w:tcPr>
            <w:tcW w:type="dxa" w:w="1080"/>
          </w:tcPr>
          <w:p>
            <w:r>
              <w:t>0.00261</w:t>
            </w:r>
          </w:p>
        </w:tc>
        <w:tc>
          <w:tcPr>
            <w:tcW w:type="dxa" w:w="1080"/>
          </w:tcPr>
          <w:p>
            <w:r>
              <w:t>0.12276</w:t>
            </w:r>
          </w:p>
        </w:tc>
        <w:tc>
          <w:tcPr>
            <w:tcW w:type="dxa" w:w="1080"/>
          </w:tcPr>
          <w:p>
            <w:r>
              <w:t>0.00523</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801.70</w:t>
            </w:r>
          </w:p>
        </w:tc>
        <w:tc>
          <w:tcPr>
            <w:tcW w:type="dxa" w:w="1080"/>
          </w:tcPr>
          <w:p>
            <w:r>
              <w:t>132.49</w:t>
            </w:r>
          </w:p>
        </w:tc>
        <w:tc>
          <w:tcPr>
            <w:tcW w:type="dxa" w:w="1080"/>
          </w:tcPr>
          <w:p>
            <w:r>
              <w:t>669.21</w:t>
            </w:r>
          </w:p>
        </w:tc>
        <w:tc>
          <w:tcPr>
            <w:tcW w:type="dxa" w:w="1080"/>
          </w:tcPr>
          <w:p>
            <w:r>
              <w:t>2.83</w:t>
            </w:r>
          </w:p>
        </w:tc>
        <w:tc>
          <w:tcPr>
            <w:tcW w:type="dxa" w:w="1080"/>
          </w:tcPr>
          <w:p>
            <w:r>
              <w:t>0.00396</w:t>
            </w:r>
          </w:p>
        </w:tc>
        <w:tc>
          <w:tcPr>
            <w:tcW w:type="dxa" w:w="1080"/>
          </w:tcPr>
          <w:p>
            <w:r>
              <w:t>0.10504</w:t>
            </w:r>
          </w:p>
        </w:tc>
        <w:tc>
          <w:tcPr>
            <w:tcW w:type="dxa" w:w="1080"/>
          </w:tcPr>
          <w:p>
            <w:r>
              <w:t>0.00791</w:t>
            </w:r>
          </w:p>
        </w:tc>
      </w:tr>
    </w:tbl>
    <w:p>
      <w:pPr>
        <w:jc w:val="center"/>
      </w:pPr>
      <w:r>
        <w:rPr>
          <w:i/>
        </w:rPr>
        <w:t>Table 1. Equilibrium domestic active pool, minimum viable threshold, and endogenous inflow parameters.</w:t>
      </w:r>
    </w:p>
    <w:p>
      <w:r>
        <w:t>Table 2 shows the three transition-rate elasticities with the largest absolute impact on T for each group. Dropout (d) is the largest negative lever in every group; promotion of domestic hit researchers to PIs (p_D) and return from abroad (beta) are the main positive levers after inflow.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Group</w:t>
            </w:r>
          </w:p>
        </w:tc>
        <w:tc>
          <w:tcPr>
            <w:tcW w:type="dxa" w:w="1234"/>
          </w:tcPr>
          <w:p>
            <w:r>
              <w:t>1st rate</w:t>
            </w:r>
          </w:p>
        </w:tc>
        <w:tc>
          <w:tcPr>
            <w:tcW w:type="dxa" w:w="1234"/>
          </w:tcPr>
          <w:p>
            <w:r>
              <w:t>1st elasticity</w:t>
            </w:r>
          </w:p>
        </w:tc>
        <w:tc>
          <w:tcPr>
            <w:tcW w:type="dxa" w:w="1234"/>
          </w:tcPr>
          <w:p>
            <w:r>
              <w:t>2nd rate</w:t>
            </w:r>
          </w:p>
        </w:tc>
        <w:tc>
          <w:tcPr>
            <w:tcW w:type="dxa" w:w="1234"/>
          </w:tcPr>
          <w:p>
            <w:r>
              <w:t>2nd elasticity</w:t>
            </w:r>
          </w:p>
        </w:tc>
        <w:tc>
          <w:tcPr>
            <w:tcW w:type="dxa" w:w="1234"/>
          </w:tcPr>
          <w:p>
            <w:r>
              <w:t>3rd rate</w:t>
            </w:r>
          </w:p>
        </w:tc>
        <w:tc>
          <w:tcPr>
            <w:tcW w:type="dxa" w:w="1234"/>
          </w:tcPr>
          <w:p>
            <w:r>
              <w:t>3rd elasticity</w:t>
            </w:r>
          </w:p>
        </w:tc>
      </w:tr>
      <w:tr>
        <w:tc>
          <w:tcPr>
            <w:tcW w:type="dxa" w:w="1234"/>
          </w:tcPr>
          <w:p>
            <w:r>
              <w:t>Anglosphere ex-US</w:t>
            </w:r>
          </w:p>
        </w:tc>
        <w:tc>
          <w:tcPr>
            <w:tcW w:type="dxa" w:w="1234"/>
          </w:tcPr>
          <w:p>
            <w:r>
              <w:t>d</w:t>
            </w:r>
          </w:p>
        </w:tc>
        <w:tc>
          <w:tcPr>
            <w:tcW w:type="dxa" w:w="1234"/>
          </w:tcPr>
          <w:p>
            <w:r>
              <w:t>-2.162</w:t>
            </w:r>
          </w:p>
        </w:tc>
        <w:tc>
          <w:tcPr>
            <w:tcW w:type="dxa" w:w="1234"/>
          </w:tcPr>
          <w:p>
            <w:r>
              <w:t>p_D</w:t>
            </w:r>
          </w:p>
        </w:tc>
        <w:tc>
          <w:tcPr>
            <w:tcW w:type="dxa" w:w="1234"/>
          </w:tcPr>
          <w:p>
            <w:r>
              <w:t>0.116</w:t>
            </w:r>
          </w:p>
        </w:tc>
        <w:tc>
          <w:tcPr>
            <w:tcW w:type="dxa" w:w="1234"/>
          </w:tcPr>
          <w:p>
            <w:r>
              <w:t>beta</w:t>
            </w:r>
          </w:p>
        </w:tc>
        <w:tc>
          <w:tcPr>
            <w:tcW w:type="dxa" w:w="1234"/>
          </w:tcPr>
          <w:p>
            <w:r>
              <w:t>0.046</w:t>
            </w:r>
          </w:p>
        </w:tc>
      </w:tr>
      <w:tr>
        <w:tc>
          <w:tcPr>
            <w:tcW w:type="dxa" w:w="1234"/>
          </w:tcPr>
          <w:p>
            <w:r>
              <w:t>Continental Europe</w:t>
            </w:r>
          </w:p>
        </w:tc>
        <w:tc>
          <w:tcPr>
            <w:tcW w:type="dxa" w:w="1234"/>
          </w:tcPr>
          <w:p>
            <w:r>
              <w:t>d</w:t>
            </w:r>
          </w:p>
        </w:tc>
        <w:tc>
          <w:tcPr>
            <w:tcW w:type="dxa" w:w="1234"/>
          </w:tcPr>
          <w:p>
            <w:r>
              <w:t>-2.100</w:t>
            </w:r>
          </w:p>
        </w:tc>
        <w:tc>
          <w:tcPr>
            <w:tcW w:type="dxa" w:w="1234"/>
          </w:tcPr>
          <w:p>
            <w:r>
              <w:t>p_D</w:t>
            </w:r>
          </w:p>
        </w:tc>
        <w:tc>
          <w:tcPr>
            <w:tcW w:type="dxa" w:w="1234"/>
          </w:tcPr>
          <w:p>
            <w:r>
              <w:t>0.067</w:t>
            </w:r>
          </w:p>
        </w:tc>
        <w:tc>
          <w:tcPr>
            <w:tcW w:type="dxa" w:w="1234"/>
          </w:tcPr>
          <w:p>
            <w:r>
              <w:t>beta</w:t>
            </w:r>
          </w:p>
        </w:tc>
        <w:tc>
          <w:tcPr>
            <w:tcW w:type="dxa" w:w="1234"/>
          </w:tcPr>
          <w:p>
            <w:r>
              <w:t>0.047</w:t>
            </w:r>
          </w:p>
        </w:tc>
      </w:tr>
      <w:tr>
        <w:tc>
          <w:tcPr>
            <w:tcW w:type="dxa" w:w="1234"/>
          </w:tcPr>
          <w:p>
            <w:r>
              <w:t>Hindu</w:t>
            </w:r>
          </w:p>
        </w:tc>
        <w:tc>
          <w:tcPr>
            <w:tcW w:type="dxa" w:w="1234"/>
          </w:tcPr>
          <w:p>
            <w:r>
              <w:t>d</w:t>
            </w:r>
          </w:p>
        </w:tc>
        <w:tc>
          <w:tcPr>
            <w:tcW w:type="dxa" w:w="1234"/>
          </w:tcPr>
          <w:p>
            <w:r>
              <w:t>-2.011</w:t>
            </w:r>
          </w:p>
        </w:tc>
        <w:tc>
          <w:tcPr>
            <w:tcW w:type="dxa" w:w="1234"/>
          </w:tcPr>
          <w:p>
            <w:r>
              <w:t>p_D</w:t>
            </w:r>
          </w:p>
        </w:tc>
        <w:tc>
          <w:tcPr>
            <w:tcW w:type="dxa" w:w="1234"/>
          </w:tcPr>
          <w:p>
            <w:r>
              <w:t>0.038</w:t>
            </w:r>
          </w:p>
        </w:tc>
        <w:tc>
          <w:tcPr>
            <w:tcW w:type="dxa" w:w="1234"/>
          </w:tcPr>
          <w:p>
            <w:r>
              <w:t>h_D</w:t>
            </w:r>
          </w:p>
        </w:tc>
        <w:tc>
          <w:tcPr>
            <w:tcW w:type="dxa" w:w="1234"/>
          </w:tcPr>
          <w:p>
            <w:r>
              <w:t>0.013</w:t>
            </w:r>
          </w:p>
        </w:tc>
      </w:tr>
      <w:tr>
        <w:tc>
          <w:tcPr>
            <w:tcW w:type="dxa" w:w="1234"/>
          </w:tcPr>
          <w:p>
            <w:r>
              <w:t>Islamic</w:t>
            </w:r>
          </w:p>
        </w:tc>
        <w:tc>
          <w:tcPr>
            <w:tcW w:type="dxa" w:w="1234"/>
          </w:tcPr>
          <w:p>
            <w:r>
              <w:t>d</w:t>
            </w:r>
          </w:p>
        </w:tc>
        <w:tc>
          <w:tcPr>
            <w:tcW w:type="dxa" w:w="1234"/>
          </w:tcPr>
          <w:p>
            <w:r>
              <w:t>-2.051</w:t>
            </w:r>
          </w:p>
        </w:tc>
        <w:tc>
          <w:tcPr>
            <w:tcW w:type="dxa" w:w="1234"/>
          </w:tcPr>
          <w:p>
            <w:r>
              <w:t>p_D</w:t>
            </w:r>
          </w:p>
        </w:tc>
        <w:tc>
          <w:tcPr>
            <w:tcW w:type="dxa" w:w="1234"/>
          </w:tcPr>
          <w:p>
            <w:r>
              <w:t>0.057</w:t>
            </w:r>
          </w:p>
        </w:tc>
        <w:tc>
          <w:tcPr>
            <w:tcW w:type="dxa" w:w="1234"/>
          </w:tcPr>
          <w:p>
            <w:r>
              <w:t>h_D</w:t>
            </w:r>
          </w:p>
        </w:tc>
        <w:tc>
          <w:tcPr>
            <w:tcW w:type="dxa" w:w="1234"/>
          </w:tcPr>
          <w:p>
            <w:r>
              <w:t>0.022</w:t>
            </w:r>
          </w:p>
        </w:tc>
      </w:tr>
      <w:tr>
        <w:tc>
          <w:tcPr>
            <w:tcW w:type="dxa" w:w="1234"/>
          </w:tcPr>
          <w:p>
            <w:r>
              <w:t>Japanese</w:t>
            </w:r>
          </w:p>
        </w:tc>
        <w:tc>
          <w:tcPr>
            <w:tcW w:type="dxa" w:w="1234"/>
          </w:tcPr>
          <w:p>
            <w:r>
              <w:t>d</w:t>
            </w:r>
          </w:p>
        </w:tc>
        <w:tc>
          <w:tcPr>
            <w:tcW w:type="dxa" w:w="1234"/>
          </w:tcPr>
          <w:p>
            <w:r>
              <w:t>-2.317</w:t>
            </w:r>
          </w:p>
        </w:tc>
        <w:tc>
          <w:tcPr>
            <w:tcW w:type="dxa" w:w="1234"/>
          </w:tcPr>
          <w:p>
            <w:r>
              <w:t>p_D</w:t>
            </w:r>
          </w:p>
        </w:tc>
        <w:tc>
          <w:tcPr>
            <w:tcW w:type="dxa" w:w="1234"/>
          </w:tcPr>
          <w:p>
            <w:r>
              <w:t>0.233</w:t>
            </w:r>
          </w:p>
        </w:tc>
        <w:tc>
          <w:tcPr>
            <w:tcW w:type="dxa" w:w="1234"/>
          </w:tcPr>
          <w:p>
            <w:r>
              <w:t>h_D</w:t>
            </w:r>
          </w:p>
        </w:tc>
        <w:tc>
          <w:tcPr>
            <w:tcW w:type="dxa" w:w="1234"/>
          </w:tcPr>
          <w:p>
            <w:r>
              <w:t>0.111</w:t>
            </w:r>
          </w:p>
        </w:tc>
      </w:tr>
      <w:tr>
        <w:tc>
          <w:tcPr>
            <w:tcW w:type="dxa" w:w="1234"/>
          </w:tcPr>
          <w:p>
            <w:r>
              <w:t>Other Civilizations</w:t>
            </w:r>
          </w:p>
        </w:tc>
        <w:tc>
          <w:tcPr>
            <w:tcW w:type="dxa" w:w="1234"/>
          </w:tcPr>
          <w:p>
            <w:r>
              <w:t>d</w:t>
            </w:r>
          </w:p>
        </w:tc>
        <w:tc>
          <w:tcPr>
            <w:tcW w:type="dxa" w:w="1234"/>
          </w:tcPr>
          <w:p>
            <w:r>
              <w:t>-2.125</w:t>
            </w:r>
          </w:p>
        </w:tc>
        <w:tc>
          <w:tcPr>
            <w:tcW w:type="dxa" w:w="1234"/>
          </w:tcPr>
          <w:p>
            <w:r>
              <w:t>p_D</w:t>
            </w:r>
          </w:p>
        </w:tc>
        <w:tc>
          <w:tcPr>
            <w:tcW w:type="dxa" w:w="1234"/>
          </w:tcPr>
          <w:p>
            <w:r>
              <w:t>0.094</w:t>
            </w:r>
          </w:p>
        </w:tc>
        <w:tc>
          <w:tcPr>
            <w:tcW w:type="dxa" w:w="1234"/>
          </w:tcPr>
          <w:p>
            <w:r>
              <w:t>h_D</w:t>
            </w:r>
          </w:p>
        </w:tc>
        <w:tc>
          <w:tcPr>
            <w:tcW w:type="dxa" w:w="1234"/>
          </w:tcPr>
          <w:p>
            <w:r>
              <w:t>0.047</w:t>
            </w:r>
          </w:p>
        </w:tc>
      </w:tr>
      <w:tr>
        <w:tc>
          <w:tcPr>
            <w:tcW w:type="dxa" w:w="1234"/>
          </w:tcPr>
          <w:p>
            <w:r>
              <w:t>Other Western</w:t>
            </w:r>
          </w:p>
        </w:tc>
        <w:tc>
          <w:tcPr>
            <w:tcW w:type="dxa" w:w="1234"/>
          </w:tcPr>
          <w:p>
            <w:r>
              <w:t>d</w:t>
            </w:r>
          </w:p>
        </w:tc>
        <w:tc>
          <w:tcPr>
            <w:tcW w:type="dxa" w:w="1234"/>
          </w:tcPr>
          <w:p>
            <w:r>
              <w:t>-2.123</w:t>
            </w:r>
          </w:p>
        </w:tc>
        <w:tc>
          <w:tcPr>
            <w:tcW w:type="dxa" w:w="1234"/>
          </w:tcPr>
          <w:p>
            <w:r>
              <w:t>p_D</w:t>
            </w:r>
          </w:p>
        </w:tc>
        <w:tc>
          <w:tcPr>
            <w:tcW w:type="dxa" w:w="1234"/>
          </w:tcPr>
          <w:p>
            <w:r>
              <w:t>0.137</w:t>
            </w:r>
          </w:p>
        </w:tc>
        <w:tc>
          <w:tcPr>
            <w:tcW w:type="dxa" w:w="1234"/>
          </w:tcPr>
          <w:p>
            <w:r>
              <w:t>h_D</w:t>
            </w:r>
          </w:p>
        </w:tc>
        <w:tc>
          <w:tcPr>
            <w:tcW w:type="dxa" w:w="1234"/>
          </w:tcPr>
          <w:p>
            <w:r>
              <w:t>0.014</w:t>
            </w:r>
          </w:p>
        </w:tc>
      </w:tr>
      <w:tr>
        <w:tc>
          <w:tcPr>
            <w:tcW w:type="dxa" w:w="1234"/>
          </w:tcPr>
          <w:p>
            <w:r>
              <w:t>Sinic</w:t>
            </w:r>
          </w:p>
        </w:tc>
        <w:tc>
          <w:tcPr>
            <w:tcW w:type="dxa" w:w="1234"/>
          </w:tcPr>
          <w:p>
            <w:r>
              <w:t>d</w:t>
            </w:r>
          </w:p>
        </w:tc>
        <w:tc>
          <w:tcPr>
            <w:tcW w:type="dxa" w:w="1234"/>
          </w:tcPr>
          <w:p>
            <w:r>
              <w:t>-2.027</w:t>
            </w:r>
          </w:p>
        </w:tc>
        <w:tc>
          <w:tcPr>
            <w:tcW w:type="dxa" w:w="1234"/>
          </w:tcPr>
          <w:p>
            <w:r>
              <w:t>p_D</w:t>
            </w:r>
          </w:p>
        </w:tc>
        <w:tc>
          <w:tcPr>
            <w:tcW w:type="dxa" w:w="1234"/>
          </w:tcPr>
          <w:p>
            <w:r>
              <w:t>0.035</w:t>
            </w:r>
          </w:p>
        </w:tc>
        <w:tc>
          <w:tcPr>
            <w:tcW w:type="dxa" w:w="1234"/>
          </w:tcPr>
          <w:p>
            <w:r>
              <w:t>h_D</w:t>
            </w:r>
          </w:p>
        </w:tc>
        <w:tc>
          <w:tcPr>
            <w:tcW w:type="dxa" w:w="1234"/>
          </w:tcPr>
          <w:p>
            <w:r>
              <w:t>0.021</w:t>
            </w:r>
          </w:p>
        </w:tc>
      </w:tr>
      <w:tr>
        <w:tc>
          <w:tcPr>
            <w:tcW w:type="dxa" w:w="1234"/>
          </w:tcPr>
          <w:p>
            <w:r>
              <w:t>United States</w:t>
            </w:r>
          </w:p>
        </w:tc>
        <w:tc>
          <w:tcPr>
            <w:tcW w:type="dxa" w:w="1234"/>
          </w:tcPr>
          <w:p>
            <w:r>
              <w:t>d</w:t>
            </w:r>
          </w:p>
        </w:tc>
        <w:tc>
          <w:tcPr>
            <w:tcW w:type="dxa" w:w="1234"/>
          </w:tcPr>
          <w:p>
            <w:r>
              <w:t>-2.126</w:t>
            </w:r>
          </w:p>
        </w:tc>
        <w:tc>
          <w:tcPr>
            <w:tcW w:type="dxa" w:w="1234"/>
          </w:tcPr>
          <w:p>
            <w:r>
              <w:t>p_D</w:t>
            </w:r>
          </w:p>
        </w:tc>
        <w:tc>
          <w:tcPr>
            <w:tcW w:type="dxa" w:w="1234"/>
          </w:tcPr>
          <w:p>
            <w:r>
              <w:t>0.087</w:t>
            </w:r>
          </w:p>
        </w:tc>
        <w:tc>
          <w:tcPr>
            <w:tcW w:type="dxa" w:w="1234"/>
          </w:tcPr>
          <w:p>
            <w:r>
              <w:t>h_D</w:t>
            </w:r>
          </w:p>
        </w:tc>
        <w:tc>
          <w:tcPr>
            <w:tcW w:type="dxa" w:w="1234"/>
          </w:tcPr>
          <w:p>
            <w:r>
              <w:t>0.066</w:t>
            </w:r>
          </w:p>
        </w:tc>
      </w:tr>
    </w:tbl>
    <w:p>
      <w:pPr>
        <w:jc w:val="center"/>
      </w:pPr>
      <w:r>
        <w:rPr>
          <w:i/>
        </w:rPr>
        <w:t>Table 2. Top transition-rate elasticities for domestic active pool T.</w:t>
      </w:r>
    </w:p>
    <w:p>
      <w:r>
        <w:t>Table 3 reports, for each group, the single rate that reaches the threshold with the smallest proportional change (closest point of no return). The Japanese group is the most fragile: a proportional change of 0.58 in d (critical factor 1.58×) would drive the domestic_PIs pool to its minimum viable threshold.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Group</w:t>
            </w:r>
          </w:p>
        </w:tc>
        <w:tc>
          <w:tcPr>
            <w:tcW w:type="dxa" w:w="1440"/>
          </w:tcPr>
          <w:p>
            <w:r>
              <w:t>Target</w:t>
            </w:r>
          </w:p>
        </w:tc>
        <w:tc>
          <w:tcPr>
            <w:tcW w:type="dxa" w:w="1440"/>
          </w:tcPr>
          <w:p>
            <w:r>
              <w:t>Rate</w:t>
            </w:r>
          </w:p>
        </w:tc>
        <w:tc>
          <w:tcPr>
            <w:tcW w:type="dxa" w:w="1440"/>
          </w:tcPr>
          <w:p>
            <w:r>
              <w:t>Current</w:t>
            </w:r>
          </w:p>
        </w:tc>
        <w:tc>
          <w:tcPr>
            <w:tcW w:type="dxa" w:w="1440"/>
          </w:tcPr>
          <w:p>
            <w:r>
              <w:t>Critical factor</w:t>
            </w:r>
          </w:p>
        </w:tc>
        <w:tc>
          <w:tcPr>
            <w:tcW w:type="dxa" w:w="1440"/>
          </w:tcPr>
          <w:p>
            <w:r>
              <w:t>Proximity</w:t>
            </w:r>
          </w:p>
        </w:tc>
      </w:tr>
      <w:tr>
        <w:tc>
          <w:tcPr>
            <w:tcW w:type="dxa" w:w="1440"/>
          </w:tcPr>
          <w:p>
            <w:r>
              <w:t>Japanese</w:t>
            </w:r>
          </w:p>
        </w:tc>
        <w:tc>
          <w:tcPr>
            <w:tcW w:type="dxa" w:w="1440"/>
          </w:tcPr>
          <w:p>
            <w:r>
              <w:t>domestic_PIs</w:t>
            </w:r>
          </w:p>
        </w:tc>
        <w:tc>
          <w:tcPr>
            <w:tcW w:type="dxa" w:w="1440"/>
          </w:tcPr>
          <w:p>
            <w:r>
              <w:t>d</w:t>
            </w:r>
          </w:p>
        </w:tc>
        <w:tc>
          <w:tcPr>
            <w:tcW w:type="dxa" w:w="1440"/>
          </w:tcPr>
          <w:p>
            <w:r>
              <w:t>0.0134</w:t>
            </w:r>
          </w:p>
        </w:tc>
        <w:tc>
          <w:tcPr>
            <w:tcW w:type="dxa" w:w="1440"/>
          </w:tcPr>
          <w:p>
            <w:r>
              <w:t>1.580</w:t>
            </w:r>
          </w:p>
        </w:tc>
        <w:tc>
          <w:tcPr>
            <w:tcW w:type="dxa" w:w="1440"/>
          </w:tcPr>
          <w:p>
            <w:r>
              <w:t>0.580</w:t>
            </w:r>
          </w:p>
        </w:tc>
      </w:tr>
      <w:tr>
        <w:tc>
          <w:tcPr>
            <w:tcW w:type="dxa" w:w="1440"/>
          </w:tcPr>
          <w:p>
            <w:r>
              <w:t>Other Civilizations</w:t>
            </w:r>
          </w:p>
        </w:tc>
        <w:tc>
          <w:tcPr>
            <w:tcW w:type="dxa" w:w="1440"/>
          </w:tcPr>
          <w:p>
            <w:r>
              <w:t>domestic_PIs</w:t>
            </w:r>
          </w:p>
        </w:tc>
        <w:tc>
          <w:tcPr>
            <w:tcW w:type="dxa" w:w="1440"/>
          </w:tcPr>
          <w:p>
            <w:r>
              <w:t>I0</w:t>
            </w:r>
          </w:p>
        </w:tc>
        <w:tc>
          <w:tcPr>
            <w:tcW w:type="dxa" w:w="1440"/>
          </w:tcPr>
          <w:p>
            <w:r>
              <w:t>1.1486</w:t>
            </w:r>
          </w:p>
        </w:tc>
        <w:tc>
          <w:tcPr>
            <w:tcW w:type="dxa" w:w="1440"/>
          </w:tcPr>
          <w:p>
            <w:r>
              <w:t>0.282</w:t>
            </w:r>
          </w:p>
        </w:tc>
        <w:tc>
          <w:tcPr>
            <w:tcW w:type="dxa" w:w="1440"/>
          </w:tcPr>
          <w:p>
            <w:r>
              <w:t>0.718</w:t>
            </w:r>
          </w:p>
        </w:tc>
      </w:tr>
      <w:tr>
        <w:tc>
          <w:tcPr>
            <w:tcW w:type="dxa" w:w="1440"/>
          </w:tcPr>
          <w:p>
            <w:r>
              <w:t>United States</w:t>
            </w:r>
          </w:p>
        </w:tc>
        <w:tc>
          <w:tcPr>
            <w:tcW w:type="dxa" w:w="1440"/>
          </w:tcPr>
          <w:p>
            <w:r>
              <w:t>domestic_PIs</w:t>
            </w:r>
          </w:p>
        </w:tc>
        <w:tc>
          <w:tcPr>
            <w:tcW w:type="dxa" w:w="1440"/>
          </w:tcPr>
          <w:p>
            <w:r>
              <w:t>I0</w:t>
            </w:r>
          </w:p>
        </w:tc>
        <w:tc>
          <w:tcPr>
            <w:tcW w:type="dxa" w:w="1440"/>
          </w:tcPr>
          <w:p>
            <w:r>
              <w:t>2.8304</w:t>
            </w:r>
          </w:p>
        </w:tc>
        <w:tc>
          <w:tcPr>
            <w:tcW w:type="dxa" w:w="1440"/>
          </w:tcPr>
          <w:p>
            <w:r>
              <w:t>0.185</w:t>
            </w:r>
          </w:p>
        </w:tc>
        <w:tc>
          <w:tcPr>
            <w:tcW w:type="dxa" w:w="1440"/>
          </w:tcPr>
          <w:p>
            <w:r>
              <w:t>0.815</w:t>
            </w:r>
          </w:p>
        </w:tc>
      </w:tr>
      <w:tr>
        <w:tc>
          <w:tcPr>
            <w:tcW w:type="dxa" w:w="1440"/>
          </w:tcPr>
          <w:p>
            <w:r>
              <w:t>Anglosphere ex-US</w:t>
            </w:r>
          </w:p>
        </w:tc>
        <w:tc>
          <w:tcPr>
            <w:tcW w:type="dxa" w:w="1440"/>
          </w:tcPr>
          <w:p>
            <w:r>
              <w:t>domestic_PIs</w:t>
            </w:r>
          </w:p>
        </w:tc>
        <w:tc>
          <w:tcPr>
            <w:tcW w:type="dxa" w:w="1440"/>
          </w:tcPr>
          <w:p>
            <w:r>
              <w:t>I0</w:t>
            </w:r>
          </w:p>
        </w:tc>
        <w:tc>
          <w:tcPr>
            <w:tcW w:type="dxa" w:w="1440"/>
          </w:tcPr>
          <w:p>
            <w:r>
              <w:t>1.5548</w:t>
            </w:r>
          </w:p>
        </w:tc>
        <w:tc>
          <w:tcPr>
            <w:tcW w:type="dxa" w:w="1440"/>
          </w:tcPr>
          <w:p>
            <w:r>
              <w:t>0.184</w:t>
            </w:r>
          </w:p>
        </w:tc>
        <w:tc>
          <w:tcPr>
            <w:tcW w:type="dxa" w:w="1440"/>
          </w:tcPr>
          <w:p>
            <w:r>
              <w:t>0.816</w:t>
            </w:r>
          </w:p>
        </w:tc>
      </w:tr>
      <w:tr>
        <w:tc>
          <w:tcPr>
            <w:tcW w:type="dxa" w:w="1440"/>
          </w:tcPr>
          <w:p>
            <w:r>
              <w:t>Islamic</w:t>
            </w:r>
          </w:p>
        </w:tc>
        <w:tc>
          <w:tcPr>
            <w:tcW w:type="dxa" w:w="1440"/>
          </w:tcPr>
          <w:p>
            <w:r>
              <w:t>domestic_PIs</w:t>
            </w:r>
          </w:p>
        </w:tc>
        <w:tc>
          <w:tcPr>
            <w:tcW w:type="dxa" w:w="1440"/>
          </w:tcPr>
          <w:p>
            <w:r>
              <w:t>I0</w:t>
            </w:r>
          </w:p>
        </w:tc>
        <w:tc>
          <w:tcPr>
            <w:tcW w:type="dxa" w:w="1440"/>
          </w:tcPr>
          <w:p>
            <w:r>
              <w:t>1.1638</w:t>
            </w:r>
          </w:p>
        </w:tc>
        <w:tc>
          <w:tcPr>
            <w:tcW w:type="dxa" w:w="1440"/>
          </w:tcPr>
          <w:p>
            <w:r>
              <w:t>0.153</w:t>
            </w:r>
          </w:p>
        </w:tc>
        <w:tc>
          <w:tcPr>
            <w:tcW w:type="dxa" w:w="1440"/>
          </w:tcPr>
          <w:p>
            <w:r>
              <w:t>0.847</w:t>
            </w:r>
          </w:p>
        </w:tc>
      </w:tr>
      <w:tr>
        <w:tc>
          <w:tcPr>
            <w:tcW w:type="dxa" w:w="1440"/>
          </w:tcPr>
          <w:p>
            <w:r>
              <w:t>Other Western</w:t>
            </w:r>
          </w:p>
        </w:tc>
        <w:tc>
          <w:tcPr>
            <w:tcW w:type="dxa" w:w="1440"/>
          </w:tcPr>
          <w:p>
            <w:r>
              <w:t>domestic_PIs</w:t>
            </w:r>
          </w:p>
        </w:tc>
        <w:tc>
          <w:tcPr>
            <w:tcW w:type="dxa" w:w="1440"/>
          </w:tcPr>
          <w:p>
            <w:r>
              <w:t>I0</w:t>
            </w:r>
          </w:p>
        </w:tc>
        <w:tc>
          <w:tcPr>
            <w:tcW w:type="dxa" w:w="1440"/>
          </w:tcPr>
          <w:p>
            <w:r>
              <w:t>0.8723</w:t>
            </w:r>
          </w:p>
        </w:tc>
        <w:tc>
          <w:tcPr>
            <w:tcW w:type="dxa" w:w="1440"/>
          </w:tcPr>
          <w:p>
            <w:r>
              <w:t>0.131</w:t>
            </w:r>
          </w:p>
        </w:tc>
        <w:tc>
          <w:tcPr>
            <w:tcW w:type="dxa" w:w="1440"/>
          </w:tcPr>
          <w:p>
            <w:r>
              <w:t>0.869</w:t>
            </w:r>
          </w:p>
        </w:tc>
      </w:tr>
      <w:tr>
        <w:tc>
          <w:tcPr>
            <w:tcW w:type="dxa" w:w="1440"/>
          </w:tcPr>
          <w:p>
            <w:r>
              <w:t>Continental Europe</w:t>
            </w:r>
          </w:p>
        </w:tc>
        <w:tc>
          <w:tcPr>
            <w:tcW w:type="dxa" w:w="1440"/>
          </w:tcPr>
          <w:p>
            <w:r>
              <w:t>domestic_PIs</w:t>
            </w:r>
          </w:p>
        </w:tc>
        <w:tc>
          <w:tcPr>
            <w:tcW w:type="dxa" w:w="1440"/>
          </w:tcPr>
          <w:p>
            <w:r>
              <w:t>I0</w:t>
            </w:r>
          </w:p>
        </w:tc>
        <w:tc>
          <w:tcPr>
            <w:tcW w:type="dxa" w:w="1440"/>
          </w:tcPr>
          <w:p>
            <w:r>
              <w:t>2.7634</w:t>
            </w:r>
          </w:p>
        </w:tc>
        <w:tc>
          <w:tcPr>
            <w:tcW w:type="dxa" w:w="1440"/>
          </w:tcPr>
          <w:p>
            <w:r>
              <w:t>0.122</w:t>
            </w:r>
          </w:p>
        </w:tc>
        <w:tc>
          <w:tcPr>
            <w:tcW w:type="dxa" w:w="1440"/>
          </w:tcPr>
          <w:p>
            <w:r>
              <w:t>0.878</w:t>
            </w:r>
          </w:p>
        </w:tc>
      </w:tr>
      <w:tr>
        <w:tc>
          <w:tcPr>
            <w:tcW w:type="dxa" w:w="1440"/>
          </w:tcPr>
          <w:p>
            <w:r>
              <w:t>Sinic</w:t>
            </w:r>
          </w:p>
        </w:tc>
        <w:tc>
          <w:tcPr>
            <w:tcW w:type="dxa" w:w="1440"/>
          </w:tcPr>
          <w:p>
            <w:r>
              <w:t>domestic_PIs</w:t>
            </w:r>
          </w:p>
        </w:tc>
        <w:tc>
          <w:tcPr>
            <w:tcW w:type="dxa" w:w="1440"/>
          </w:tcPr>
          <w:p>
            <w:r>
              <w:t>I0</w:t>
            </w:r>
          </w:p>
        </w:tc>
        <w:tc>
          <w:tcPr>
            <w:tcW w:type="dxa" w:w="1440"/>
          </w:tcPr>
          <w:p>
            <w:r>
              <w:t>2.3837</w:t>
            </w:r>
          </w:p>
        </w:tc>
        <w:tc>
          <w:tcPr>
            <w:tcW w:type="dxa" w:w="1440"/>
          </w:tcPr>
          <w:p>
            <w:r>
              <w:t>0.066</w:t>
            </w:r>
          </w:p>
        </w:tc>
        <w:tc>
          <w:tcPr>
            <w:tcW w:type="dxa" w:w="1440"/>
          </w:tcPr>
          <w:p>
            <w:r>
              <w:t>0.934</w:t>
            </w:r>
          </w:p>
        </w:tc>
      </w:tr>
      <w:tr>
        <w:tc>
          <w:tcPr>
            <w:tcW w:type="dxa" w:w="1440"/>
          </w:tcPr>
          <w:p>
            <w:r>
              <w:t>Hindu</w:t>
            </w:r>
          </w:p>
        </w:tc>
        <w:tc>
          <w:tcPr>
            <w:tcW w:type="dxa" w:w="1440"/>
          </w:tcPr>
          <w:p>
            <w:r>
              <w:t>domestic_PIs</w:t>
            </w:r>
          </w:p>
        </w:tc>
        <w:tc>
          <w:tcPr>
            <w:tcW w:type="dxa" w:w="1440"/>
          </w:tcPr>
          <w:p>
            <w:r>
              <w:t>I0</w:t>
            </w:r>
          </w:p>
        </w:tc>
        <w:tc>
          <w:tcPr>
            <w:tcW w:type="dxa" w:w="1440"/>
          </w:tcPr>
          <w:p>
            <w:r>
              <w:t>1.5156</w:t>
            </w:r>
          </w:p>
        </w:tc>
        <w:tc>
          <w:tcPr>
            <w:tcW w:type="dxa" w:w="1440"/>
          </w:tcPr>
          <w:p>
            <w:r>
              <w:t>0.046</w:t>
            </w:r>
          </w:p>
        </w:tc>
        <w:tc>
          <w:tcPr>
            <w:tcW w:type="dxa" w:w="1440"/>
          </w:tcPr>
          <w:p>
            <w:r>
              <w:t>0.954</w:t>
            </w:r>
          </w:p>
        </w:tc>
      </w:tr>
    </w:tbl>
    <w:p>
      <w:pPr>
        <w:jc w:val="center"/>
      </w:pPr>
      <w:r>
        <w:rPr>
          <w:i/>
        </w:rPr>
        <w:t>Table 3. Closest point of no return by group.</w:t>
      </w:r>
    </w:p>
    <w:p>
      <w:r>
        <w:t>Figure 1 visualises the gap between equilibrium and threshold; Figure 2 ranks groups by their closest point-of-no-return leverage.</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indicate that a smaller proportional change in the listed rate is required to reach the threshold.</w:t>
      </w:r>
    </w:p>
    <w:p>
      <w:pPr>
        <w:pStyle w:val="Heading2"/>
      </w:pPr>
      <w:r>
        <w:t>3.1 Saturating recruitment extension</w:t>
      </w:r>
    </w:p>
    <w:p>
      <w:r>
        <w:t>Replacing linear inflow with a saturating form lowers equilibrium pools for fast-growing groups because each additional PI adds fewer entrants. Table 4 compares linear and saturating equilibrium T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Group</w:t>
            </w:r>
          </w:p>
        </w:tc>
        <w:tc>
          <w:tcPr>
            <w:tcW w:type="dxa" w:w="2160"/>
          </w:tcPr>
          <w:p>
            <w:r>
              <w:t>Linear T</w:t>
            </w:r>
          </w:p>
        </w:tc>
        <w:tc>
          <w:tcPr>
            <w:tcW w:type="dxa" w:w="2160"/>
          </w:tcPr>
          <w:p>
            <w:r>
              <w:t>Saturating T</w:t>
            </w:r>
          </w:p>
        </w:tc>
        <w:tc>
          <w:tcPr>
            <w:tcW w:type="dxa" w:w="2160"/>
          </w:tcPr>
          <w:p>
            <w: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1156.27</w:t>
            </w:r>
          </w:p>
        </w:tc>
        <w:tc>
          <w:tcPr>
            <w:tcW w:type="dxa" w:w="2160"/>
          </w:tcPr>
          <w:p>
            <w:r>
              <w:t>632.67</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801.70</w:t>
            </w:r>
          </w:p>
        </w:tc>
        <w:tc>
          <w:tcPr>
            <w:tcW w:type="dxa" w:w="2160"/>
          </w:tcPr>
          <w:p>
            <w:r>
              <w:t>462.03</w:t>
            </w:r>
          </w:p>
        </w:tc>
        <w:tc>
          <w:tcPr>
            <w:tcW w:type="dxa" w:w="2160"/>
          </w:tcPr>
          <w:p>
            <w:r>
              <w:t>0.00714</w:t>
            </w:r>
          </w:p>
        </w:tc>
      </w:tr>
    </w:tbl>
    <w:p>
      <w:pPr>
        <w:jc w:val="center"/>
      </w:pPr>
      <w:r>
        <w:rPr>
          <w:i/>
        </w:rPr>
        <w:t>Table 4. Equilibrium T under linear and saturating PI-driven inflow.</w:t>
      </w:r>
    </w:p>
    <w:p>
      <w:pPr>
        <w:pStyle w:val="Heading1"/>
      </w:pPr>
      <w:r>
        <w:t>4. Discussion</w:t>
      </w:r>
    </w:p>
    <w:p>
      <w:r>
        <w:t>The model supports a transition-rate view of research-policy intervention. Because dropout has an elasticity near -2 for every group, policies that reduce attrition — stable junior positions, grants for risky early work, and family/visa support — have the highest marginal impact on community size. At the same time, PI-driven inflow and domestic PI promotion (p_D) have the largest positive elasticities, indicating that sustaining a senior core is necessary for generational renewal.</w:t>
      </w:r>
    </w:p>
    <w:p>
      <w:r>
        <w:t>The Japanese group illustrates how a technologically advanced but demographically smaller civilisation can sit close to the PI point of no return even when the overall active pool looks comfortable. This asymmetry between T and P_D suggests that headline researcher counts can mask fragility in leadership generation.</w:t>
      </w:r>
    </w:p>
    <w:p>
      <w:r>
        <w:t>From a global-diversity standpoint, the results argue for early intervention within a safety factor: small proportional adjustments to return rates, hit-generation, and dropout are sufficient to keep every group above its threshold, avoiding the concentration that would turn AI/ML into an oligopoly of a few large civilisations.</w:t>
      </w:r>
      <w:r>
        <w:rPr>
          <w:vertAlign w:val="superscript"/>
        </w:rPr>
        <w:t>[1]</w:t>
      </w:r>
      <w:r>
        <w:rPr>
          <w:vertAlign w:val="superscript"/>
        </w:rPr>
        <w:t>[2]</w:t>
      </w:r>
    </w:p>
    <w:p>
      <w:pPr>
        <w:pStyle w:val="Heading1"/>
      </w:pPr>
      <w:r>
        <w:t>5. Limitations</w:t>
      </w:r>
    </w:p>
    <w:p>
      <w:r>
        <w:t>OpenAlex affiliation and author country assignments are noisy, and the model treats each civilisation as a closed compartment with no cross-civilisation spillovers beyond endogenous inflow. Future extensions include network externalities, time-varying parameters, and a larger quantum-technology pilot to test transferability to security-relevant fields.</w:t>
      </w:r>
    </w:p>
    <w:p>
      <w:pPr>
        <w:pStyle w:val="Heading1"/>
      </w:pPr>
      <w:r>
        <w:t>References</w:t>
      </w:r>
    </w:p>
    <w:p>
      <w:r>
        <w:t>1. Momentumyy. 人材流出ではなく『遷移係数』で考える研究コミュニティの存亡. note, 2024. https://note.com/momentumyy/n/n86df5d34282d (accessed 2024-08-09).</w:t>
      </w:r>
    </w:p>
    <w:p>
      <w:r>
        <w:t>2. Huntington S P. The Clash of Civilizations and the Remaking of World Order. New York: Simon &amp; Schuster, 1996.</w:t>
      </w:r>
    </w:p>
    <w:p>
      <w:r>
        <w:t>3. Priem J, Piwowar H, Orr R. OpenAlex: A fully-open index of scholarly works, authors, venues, institutions, and concepts. arXiv:2205.01813,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