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In Japan, workforce maldistribution has intensified amid the 2024 work-style reform, but no multi-specialty test of predictive causality between incidents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demonstrated significant forward Granger causality (incidents → workforce; P &lt; 0.05). The strongest association was in obstetrics and gynaecology (F = 46.66, P &lt; 0.001). Bidirectional causality emerged in 7 specialty–outcome pairs. Impulse response functions showed that a litigation shock depressed physician supply for 3–5 years. General surgery is projected to lose approximately 230 physicians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Coupled with work-style reform constraints, the resulting reinforcing cycle threatens essential medical services and demands integrated policy intervention.</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The April 2024 work-style reform, capping physician overtime at 960 hours annually, has curtailed "gaikin" (moonlighting opportunities) that long supplemented hospital incomes.</w:t>
      </w:r>
      <w:r>
        <w:rPr>
          <w:rFonts w:ascii="Times New Roman" w:hAnsi="Times New Roman"/>
          <w:b w:val="0"/>
          <w:i w:val="0"/>
          <w:sz w:val="20"/>
          <w:vertAlign w:val="superscript"/>
        </w:rPr>
        <w:t>5,6</w:t>
      </w:r>
      <w:r>
        <w:rPr>
          <w:rFonts w:ascii="Times New Roman" w:hAnsi="Times New Roman"/>
          <w:b w:val="0"/>
          <w:i w:val="0"/>
          <w:sz w:val="24"/>
        </w:rPr>
        <w:t xml:space="preserve"> How these regulatory constraints interact with incident-driven workforce dynamics remains untested beyond single-event case studies.</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9</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10</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11,12</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13–15</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Litigation statistics Granger-caused physician counts in 9 of 12 specialties and facility counts in 9 of 12; obstetrics and gynaecology showed the strongest association (F = 46.66, P &lt; 0.001). By contrast, JMSR incident reports—which capture adverse events irrespective of legal proceedings—reached significance in only 2 of 23 models (general surgery and psychiatry), partly reflecting the shorter series (11 versus 20 years) but also suggesting that the litigation process itself, rather than incident occurrence alone, is the stronger predictor of workforce change.</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1,9</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23</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5</w:t>
      </w:r>
      <w:r>
        <w:rPr>
          <w:rFonts w:ascii="Times New Roman" w:hAnsi="Times New Roman"/>
          <w:b w:val="0"/>
          <w:i w:val="0"/>
          <w:sz w:val="24"/>
        </w:rPr>
        <w:t xml:space="preserve"> Restrictions on "gaikin"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6</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That litigation-based models dominate the results carries a constructive corollary: if disputes are resolved before reaching court—through early mediation, alternative dispute resolution, or no-fault compensation—the workforce signal may be substantially attenuated. Strengthening these mechanisms, alongside structured post-incident support and proportionate media reporting, could blunt the deterrent effect that currently drives physicians from high-risk specialties.</w:t>
      </w:r>
      <w:r>
        <w:rPr>
          <w:rFonts w:ascii="Times New Roman" w:hAnsi="Times New Roman"/>
          <w:b w:val="0"/>
          <w:i w:val="0"/>
          <w:sz w:val="20"/>
          <w:vertAlign w:val="superscript"/>
        </w:rPr>
        <w:t>7,24</w:t>
      </w:r>
    </w:p>
    <w:p>
      <w:pPr>
        <w:spacing w:after="120" w:line="480" w:lineRule="auto"/>
      </w:pPr>
      <w:r>
        <w:rPr>
          <w:rFonts w:ascii="Times New Roman" w:hAnsi="Times New Roman"/>
          <w:b w:val="0"/>
          <w:i w:val="0"/>
          <w:sz w:val="24"/>
        </w:rPr>
        <w:t>On the pull side, the 2024 draft restrictions on new clinic openings in physician-surplus areas may function to attenuate outflow from essential specialties. The 3–5 year effect duration estimated by our IRFs defines a policy window within which combined regulatory and incentive-based measures could realistically alter trajectories.</w:t>
      </w:r>
    </w:p>
    <w:p>
      <w:pPr>
        <w:spacing w:after="120" w:line="480" w:lineRule="auto"/>
      </w:pPr>
      <w:r>
        <w:rPr>
          <w:rFonts w:ascii="Times New Roman" w:hAnsi="Times New Roman"/>
          <w:b w:val="0"/>
          <w:i w:val="0"/>
          <w:sz w:val="24"/>
        </w:rPr>
        <w:t>The projected contraction in general surgery (−230 physicians/year; −310 facilities/year) warrants particular attention given concurrent reform-driven capacity constraints. Workforce planning models should incorporate the lag parameters estimated here.</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Bidirectional causality in obstetrics, paediatrics, and general surgery points to a self-reinforcing shortage–incident cycle that, compounded by work-style reform and the emergence of career paths outside conventional specialty frameworks, poses a credible threat to essential medical services.</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