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 ABO blood group, O allele, Neanderthal sub-lineage, Ancient North Eurasian</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Motivated by the observation that Native American populations show near-fixation of blood group O — whose O2 sub-allele is Neanderthal-derived — we examined archaic introgression at the ABO locus across 66 populations. Analysis of 517 introgressed segments revealed that Indigenous Americans carry exclusively Vindija-type Neanderthal DNA at ABO, while East Asian and Oceanian populations carry Altai/Chagyrskaya types. Ancient genome data further showed a temporal shift from Altai/Chagyrskaya dominance (&gt;8 kya) to Vindija predominance (57%) in present-day West Eurasians (p = 0.003). We attribute the Vindija-type in Indigenous Americans to Ancient North Eurasian (ANE) ancestry and propose that density-dependent pathogen selection drove sub-lineage turnover in the Old World while preserving the ancestral composition in low-density Americas. These locus-specific patterns motivated a genome-wide extension: pairwise correlations of archaic introgression profiles across ~6,000 genomic windows serve as an independent tracer of past human migration, explaining 51% (Neanderthal, R</w:t>
      </w:r>
      <w:r>
        <w:rPr>
          <w:sz w:val="20"/>
          <w:vertAlign w:val="superscript"/>
        </w:rPr>
        <w:t>2</w:t>
      </w:r>
      <w:r>
        <w:rPr>
          <w:rFonts w:ascii="Times New Roman" w:hAnsi="Times New Roman"/>
          <w:sz w:val="24"/>
        </w:rPr>
        <w:t xml:space="preserve"> = 0.510) and 50% (Denisovan, R</w:t>
      </w:r>
      <w:r>
        <w:rPr>
          <w:sz w:val="20"/>
          <w:vertAlign w:val="superscript"/>
        </w:rPr>
        <w:t>2</w:t>
      </w:r>
      <w:r>
        <w:rPr>
          <w:rFonts w:ascii="Times New Roman" w:hAnsi="Times New Roman"/>
          <w:sz w:val="24"/>
        </w:rPr>
        <w:t xml:space="preserve"> = 0.495) of sharing variance after confounding correction. Denisovan introgression creates a sharp boundary coinciding with the Wallace Line, while Neanderthal residuals highlight trans-Pacific connections consistent with Beringian migration.</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Our investigation originated from a seemingly simple observation: Native American populations exhibit a near-fixation of blood group O, with frequencies reaching 95-100% in isolated groups such as the Surui and Karitiana. The O allele of the ABO blood group gene (chr9:133.2-133.3 Mb) includes the O2 sub-allele, which carries a frameshift deletion (261delG, rs8176719) that has been identified as Neanderthal-derived.</w:t>
      </w:r>
      <w:r>
        <w:rPr>
          <w:sz w:val="20"/>
          <w:vertAlign w:val="superscript"/>
        </w:rPr>
        <w:t>6</w:t>
      </w:r>
      <w:r>
        <w:rPr>
          <w:rFonts w:ascii="Times New Roman" w:hAnsi="Times New Roman"/>
          <w:sz w:val="24"/>
        </w:rPr>
        <w:t xml:space="preserve"> This prompted us to ask: does the ABO locus retain an imprint of the archaic interbreeding events that accompanied the peopling of the Americas? To address this question, we first examined archaic introgression patterns at the ABO locus across 66 populations, which revealed dramatic regional differences in both frequency and Neanderthal sub-lineage composition. These locus-specific findings motivated a genome-wide extension of the analysis — from a single gene to all ~6,000 genomic windows — forming the basis of the hypothesis presented here.</w:t>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4,7</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8</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three key ways: (1) we jointly analyze both Neanderthal and Denisovan introgression, exploiting their complementary geographic signatures; (2) we operate at the level of segment sharing rather than aggregate proportions, capturing population-specific introgression patterns; and (3) we explicitly model confounding factors (recent admixture and continental grouping) to isolate residual sharing signals indicative of unexpected historical connections.</w:t>
      </w:r>
    </w:p>
    <w:p>
      <w:pPr>
        <w:pStyle w:val="Heading1"/>
      </w:pPr>
      <w:r>
        <w:rPr>
          <w:color w:val="000000"/>
        </w:rPr>
        <w:t>The Hypothesis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Supporting Evidence from Publicly Available Data</w:t>
      </w:r>
    </w:p>
    <w:p>
      <w:pPr>
        <w:pStyle w:val="Heading2"/>
      </w:pPr>
      <w:r>
        <w:rPr>
          <w:color w:val="000000"/>
        </w:rPr>
        <w:t>Data and analytical framework</w:t>
      </w:r>
    </w:p>
    <w:p>
      <w:pPr/>
      <w:r>
        <w:rPr>
          <w:rFonts w:ascii="Times New Roman" w:hAnsi="Times New Roman"/>
          <w:sz w:val="24"/>
        </w:rPr>
        <w:t>To evaluate this hypothesis, we reanalyzed archaic introgression segments detected by hmmix</w:t>
      </w:r>
      <w:r>
        <w:rPr>
          <w:sz w:val="20"/>
          <w:vertAlign w:val="superscript"/>
        </w:rPr>
        <w:t>9</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2"/>
      </w:pPr>
      <w:r>
        <w:rPr>
          <w:color w:val="000000"/>
        </w:rPr>
        <w:t>Confounding correction substantially improves model fit</w:t>
      </w:r>
    </w:p>
    <w:p>
      <w:pPr/>
      <w:r>
        <w:rPr>
          <w:rFonts w:ascii="Times New Roman" w:hAnsi="Times New Roman"/>
          <w:sz w:val="24"/>
        </w:rPr>
        <w:t>The uncorrected model (geographic distance only) explained 23.5% of the variance in Neanderthal sharing correlations and 21.7% for Denisovan. After incorporating admixture and continental grouping, the corrected model explained 51.0% (Neanderthal, 95% CI: 48.3-53.8%) and 49.5% (Denisovan, 95% CI: 46.9-52.2%), as confirmed by 5,000 bootstrap resamples (Figure 1). All three covariates contributed significantly: geographic distance (beta = -0.016 per 1000 km, p &lt; 10</w:t>
      </w:r>
      <w:r>
        <w:rPr>
          <w:sz w:val="20"/>
          <w:vertAlign w:val="superscript"/>
        </w:rPr>
        <w:t>-15</w:t>
      </w:r>
      <w:r>
        <w:rPr>
          <w:rFonts w:ascii="Times New Roman" w:hAnsi="Times New Roman"/>
          <w:sz w:val="24"/>
        </w:rPr>
        <w:t>), European admixture fraction (beta = 0.42, p &lt; 10</w:t>
      </w:r>
      <w:r>
        <w:rPr>
          <w:sz w:val="20"/>
          <w:vertAlign w:val="superscript"/>
        </w:rPr>
        <w:t>-15</w:t>
      </w:r>
      <w:r>
        <w:rPr>
          <w:rFonts w:ascii="Times New Roman" w:hAnsi="Times New Roman"/>
          <w:sz w:val="24"/>
        </w:rPr>
        <w:t>), and same-continent indicator (beta = 0.30, p &lt; 10</w:t>
      </w:r>
      <w:r>
        <w:rPr>
          <w:sz w:val="20"/>
          <w:vertAlign w:val="superscript"/>
        </w:rPr>
        <w:t>-15</w:t>
      </w:r>
      <w:r>
        <w:rPr>
          <w:rFonts w:ascii="Times New Roman" w:hAnsi="Times New Roman"/>
          <w:sz w:val="24"/>
        </w:rPr>
        <w:t>). The Mantel test confirmed that the distance-sharing relationship remains highly significant even when restricted to non-admixed population pairs (Neanderthal: r = -0.62, p = 0.0001; Denisovan: r = -0.58, p = 0.0001).</w:t>
      </w:r>
    </w:p>
    <w:p>
      <w:pPr/>
      <w:r>
        <w:rPr>
          <w:rFonts w:ascii="Times New Roman" w:hAnsi="Times New Roman"/>
          <w:sz w:val="24"/>
        </w:rPr>
        <w:t>The partial correlation between sharing and distance, after controlling for admixture and continental grouping, decreased from r = -0.485 to r = -0.311 for Neanderthal and from r = -0.466 to r = -0.300 for Denisovan. This indicates that approximately 36% of the raw distance-sharing correlation was attributable to confounding by continental structure and recent admixture — a substantial correction that validates the necessity of this adjustment.</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Figure 1. </w:t>
      </w:r>
      <w:r>
        <w:rPr>
          <w:sz w:val="22"/>
        </w:rPr>
        <w:t>Archaic DNA sharing correlation vs. geographic distance. (A) Neanderthal segment sharing: blue dots indicate same-continent pairs, red dots indicate cross-continent pairs, and orange triangles indicate pairs involving recently admixed populations (PUR, CLM, MXL, PEL). Dashed lines show the corrected regression model for cross-continental (black) and same-continental (blue) pairs. Key outlier pairs are annotated. (B) Denisovan segment sharing: purple diamonds indicate Oceania-involved pairs, which cluster as a distinct group with negative or near-zero correlations with non-Oceanian populations, reflecting the Denisovan admixture boundary at the Wallace Line. Data: hmmix introgression segments (Zenodo:14136628), 66 populations, 3,134 individuals, 500 kb bins, corrected for admixture and continental grouping.</w:t>
      </w:r>
    </w:p>
    <w:p>
      <w:pPr>
        <w:pStyle w:val="Heading2"/>
      </w:pPr>
      <w:r>
        <w:rPr>
          <w:color w:val="000000"/>
        </w:rPr>
        <w:t>Denisovan DNA delineates the Wallace Line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between the Asian and Australian continental shelves.</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Figure 3. </w:t>
      </w:r>
      <w:r>
        <w:rPr>
          <w:sz w:val="22"/>
        </w:rPr>
        <w:t>Minard-style flow visualization of Homo sapiens Out-of-Africa migration with archaic admixture events. Band width represents relative population size (reflecting decreasing genetic diversity with distance from Africa). Stars mark admixture events: Neanderthal admixture ~47,000 years ago (affecting all non-African lineages), Denisovan admixture 1 ~45,000 years ago (Oceanian lineage, 3-5%), and Denisovan admixture 2 ~30,000 years ago (East Asian lineage, ~0.06%). Yellow and pink shaded regions indicate Neanderthal and Denisovan geographic ranges, respectively.</w:t>
      </w:r>
    </w:p>
    <w:p>
      <w:pPr>
        <w:pStyle w:val="Heading2"/>
      </w:pPr>
      <w:r>
        <w:rPr>
          <w:color w:val="000000"/>
        </w:rPr>
        <w:t>Neanderthal residuals highlight trans-Pacific connections</w:t>
      </w:r>
    </w:p>
    <w:p>
      <w:pPr/>
      <w:r>
        <w:rPr>
          <w:rFonts w:ascii="Times New Roman" w:hAnsi="Times New Roman"/>
          <w:sz w:val="24"/>
        </w:rPr>
        <w:t>Among non-admixed population pairs, the largest positive residuals from the corrected Neanderthal model involve Middle East-Europe pairs (Palestinian-TSI: residual +0.395; IBS-Palestinian: +0.386), reflecting the close genetic relationship between these regions despite their assignment to different continental categories. More informative are the cross-continental outliers: among admixed pairs, East Asian-Peruvian connections (KHV-PEL: residual +0.353; CHS-PEL: +0.346; CHB-PEL: +0.334) show elevated sharing over 16,000-19,000 km, consistent with the Beringian migration route.</w:t>
      </w:r>
    </w:p>
    <w:p>
      <w:pPr/>
      <w:r>
        <w:rPr>
          <w:rFonts w:ascii="Times New Roman" w:hAnsi="Times New Roman"/>
          <w:sz w:val="24"/>
        </w:rPr>
        <w:t>While individual outlier pairs do not reach statistical significance after FDR correction (q &gt; 0.10 for all pairs), the consistent directionality of the top residuals — preferentially connecting East Asian and American populations rather than, for example, European and Oceanian populations — supports the hypothesis that Neanderthal segment sharing retains a signal of the Beringian crossing. We note that the absence of individually significant outliers is expected given the modest sample size per population (median = 20 individuals) and the conservative nature of genome-wide permutation tests with 2,145 pair comparisons.</w:t>
      </w:r>
    </w:p>
    <w:p>
      <w:pPr>
        <w:pStyle w:val="Heading2"/>
      </w:pPr>
      <w:r>
        <w:rPr>
          <w:color w:val="000000"/>
        </w:rPr>
        <w:t>From the ABO locus to the genome-wide hypothesis</w:t>
      </w:r>
    </w:p>
    <w:p>
      <w:pPr/>
      <w:r>
        <w:rPr>
          <w:rFonts w:ascii="Times New Roman" w:hAnsi="Times New Roman"/>
          <w:sz w:val="24"/>
        </w:rPr>
        <w:t>The genome-wide analysis presented above grew out of a focal investigation of archaic introgression at the ABO blood group gene (chr9:133,233,278–133,276,024; GRCh38). The ABO locus is under balancing selection related to pathogen resistance</w:t>
      </w:r>
      <w:r>
        <w:rPr>
          <w:sz w:val="20"/>
          <w:vertAlign w:val="superscript"/>
        </w:rPr>
        <w:t>6,10</w:t>
      </w:r>
      <w:r>
        <w:rPr>
          <w:rFonts w:ascii="Times New Roman" w:hAnsi="Times New Roman"/>
          <w:sz w:val="24"/>
        </w:rPr>
        <w:t xml:space="preserve"> and was chosen as an initial target because of the striking near-fixation of blood group O in Native American populations — with frequencies reaching 95–100% in isolated groups, established prior to European contact</w:t>
      </w:r>
      <w:r>
        <w:rPr>
          <w:sz w:val="20"/>
          <w:vertAlign w:val="superscript"/>
        </w:rPr>
        <w:t>11</w:t>
      </w:r>
      <w:r>
        <w:rPr>
          <w:rFonts w:ascii="Times New Roman" w:hAnsi="Times New Roman"/>
          <w:sz w:val="24"/>
        </w:rPr>
        <w:t xml:space="preserve"> — and the Neanderthal origin of the O2 sub-allele, defined by the frameshift deletion 261delG (rs8176719).</w:t>
      </w:r>
      <w:r>
        <w:rPr>
          <w:sz w:val="20"/>
          <w:vertAlign w:val="superscript"/>
        </w:rPr>
        <w:t>12</w:t>
      </w:r>
      <w:r>
        <w:rPr>
          <w:rFonts w:ascii="Times New Roman" w:hAnsi="Times New Roman"/>
          <w:sz w:val="24"/>
        </w:rPr>
      </w:r>
    </w:p>
    <w:p>
      <w:pPr/>
      <w:r>
        <w:rPr>
          <w:rFonts w:ascii="Times New Roman" w:hAnsi="Times New Roman"/>
          <w:sz w:val="24"/>
        </w:rPr>
        <w:t>By analyzing 517 hmmix segments overlapping the ABO extended region (chr9:133.0–133.5 Mb) across all 66 populations, we found dramatic regional differences in Neanderthal sub-lineage composition (Figure 5). East Asian populations (n = 45 segments) showed predominantly Altai (58%) and Chagyrskaya (40%) types with minimal Vindija representation (2%). Oceanian populations (n = 25 segments) showed exclusively Altai (48%) and Chagyrskaya (52%) with zero Vindija. European populations showed a more balanced distribution: Vindija 36%, Altai 33%, Chagyrskaya 31% (n = 304 segments). Most remarkably, the only segments from pure Indigenous American individuals — Pima (HGDP01058) and Maya (HGDP00877) — were classified as 100% Vindija-type (n = 2). The Pima segment (chr9:133,254,000–133,513,000; 259 kb) directly overlapped the ABO gene, while the Maya segment (chr9:133,294,000–133,502,000; 208 kb) lay in the immediate downstream region.</w:t>
      </w:r>
    </w:p>
    <w:p>
      <w:pPr>
        <w:jc w:val="center"/>
      </w:pPr>
      <w:r>
        <w:drawing>
          <wp:inline xmlns:a="http://schemas.openxmlformats.org/drawingml/2006/main" xmlns:pic="http://schemas.openxmlformats.org/drawingml/2006/picture">
            <wp:extent cx="5486400" cy="2134111"/>
            <wp:docPr id="4" name="Picture 4"/>
            <wp:cNvGraphicFramePr>
              <a:graphicFrameLocks noChangeAspect="1"/>
            </wp:cNvGraphicFramePr>
            <a:graphic>
              <a:graphicData uri="http://schemas.openxmlformats.org/drawingml/2006/picture">
                <pic:pic>
                  <pic:nvPicPr>
                    <pic:cNvPr id="0" name="fig5_abo_sublineage.png"/>
                    <pic:cNvPicPr/>
                  </pic:nvPicPr>
                  <pic:blipFill>
                    <a:blip r:embed="rId12"/>
                    <a:stretch>
                      <a:fillRect/>
                    </a:stretch>
                  </pic:blipFill>
                  <pic:spPr>
                    <a:xfrm>
                      <a:off x="0" y="0"/>
                      <a:ext cx="5486400" cy="2134111"/>
                    </a:xfrm>
                    <a:prstGeom prst="rect"/>
                  </pic:spPr>
                </pic:pic>
              </a:graphicData>
            </a:graphic>
          </wp:inline>
        </w:drawing>
      </w:r>
    </w:p>
    <w:p>
      <w:r>
        <w:rPr>
          <w:b/>
          <w:sz w:val="22"/>
        </w:rPr>
        <w:t xml:space="preserve">Figure 5. </w:t>
      </w:r>
      <w:r>
        <w:rPr>
          <w:sz w:val="22"/>
        </w:rPr>
        <w:t>Neanderthal sub-lineage composition at the ABO locus. Proportion of Altai-, Chagyrskaya-, and Vindija-type Neanderthal segments by geographic region. Indigenous Americans carry exclusively Vindija-type (100%), in sharp contrast to East Asian (Altai 58%, Chagyrskaya 40%) and Oceanian (Altai 48%, Chagyrskaya 52%) populations. European populations show a balanced distribution (Vindija 36%, Altai 33%, Chagyrskaya 31%). Data: hmmix introgression segments, 517 segments in ABO extended region (chr9:133.0–133.5 Mb), 66 populations.</w:t>
      </w:r>
    </w:p>
    <w:p>
      <w:pPr/>
      <w:r>
        <w:rPr>
          <w:rFonts w:ascii="Times New Roman" w:hAnsi="Times New Roman"/>
          <w:sz w:val="24"/>
        </w:rPr>
        <w:t>The Neanderthal-derived O2 allele (rs41302905) showed an unexpected geographic distribution (Figure 6). Solomon Islands populations exhibited the highest frequencies (5–16%),</w:t>
      </w:r>
      <w:r>
        <w:rPr>
          <w:sz w:val="20"/>
          <w:vertAlign w:val="superscript"/>
        </w:rPr>
        <w:t>13</w:t>
      </w:r>
      <w:r>
        <w:rPr>
          <w:rFonts w:ascii="Times New Roman" w:hAnsi="Times New Roman"/>
          <w:sz w:val="24"/>
        </w:rPr>
        <w:t xml:space="preserve"> followed by European populations (0.5–5%), while East Asian populations showed near-zero frequencies. This pattern inversely correlates with overall Neanderthal introgression frequency at the ABO locus, where Oceanian populations (Papuan Sepik 87.5%, Papuan Highlands 66.7%) greatly exceeded East Asian (~1.5%) and European (~6.6%) populations. The paradox of high O2 frequency in Oceanian populations despite zero Vindija-type Neanderthal segments at ABO suggests that the O2 allele may have been introduced through a distinct introgression event or maintained by balancing selection independently of sub-lineage identity.</w:t>
      </w:r>
    </w:p>
    <w:p>
      <w:pPr>
        <w:jc w:val="center"/>
      </w:pPr>
      <w:r>
        <w:drawing>
          <wp:inline xmlns:a="http://schemas.openxmlformats.org/drawingml/2006/main" xmlns:pic="http://schemas.openxmlformats.org/drawingml/2006/picture">
            <wp:extent cx="5486400" cy="2322681"/>
            <wp:docPr id="5" name="Picture 5"/>
            <wp:cNvGraphicFramePr>
              <a:graphicFrameLocks noChangeAspect="1"/>
            </wp:cNvGraphicFramePr>
            <a:graphic>
              <a:graphicData uri="http://schemas.openxmlformats.org/drawingml/2006/picture">
                <pic:pic>
                  <pic:nvPicPr>
                    <pic:cNvPr id="0" name="fig6_o2_introgression.png"/>
                    <pic:cNvPicPr/>
                  </pic:nvPicPr>
                  <pic:blipFill>
                    <a:blip r:embed="rId13"/>
                    <a:stretch>
                      <a:fillRect/>
                    </a:stretch>
                  </pic:blipFill>
                  <pic:spPr>
                    <a:xfrm>
                      <a:off x="0" y="0"/>
                      <a:ext cx="5486400" cy="2322681"/>
                    </a:xfrm>
                    <a:prstGeom prst="rect"/>
                  </pic:spPr>
                </pic:pic>
              </a:graphicData>
            </a:graphic>
          </wp:inline>
        </w:drawing>
      </w:r>
    </w:p>
    <w:p>
      <w:r>
        <w:rPr>
          <w:b/>
          <w:sz w:val="22"/>
        </w:rPr>
        <w:t xml:space="preserve">Figure 6. </w:t>
      </w:r>
      <w:r>
        <w:rPr>
          <w:sz w:val="22"/>
        </w:rPr>
        <w:t>O2 allele frequency and Neanderthal introgression patterns at the ABO locus. (A) Frequency of the Neanderthal-derived O2 allele (rs41302905) across populations. Solomon Islands populations show the highest frequencies (5–16%), followed by European populations, while East Asian populations show near-zero frequencies. (B) Proportion of individuals carrying Neanderthal introgression near the ABO locus by population.</w:t>
      </w:r>
    </w:p>
    <w:p>
      <w:pPr/>
      <w:r>
        <w:rPr>
          <w:rFonts w:ascii="Times New Roman" w:hAnsi="Times New Roman"/>
          <w:sz w:val="24"/>
        </w:rPr>
        <w:t>The exclusive Vindija-type at ABO in Indigenous Americans, despite their predominantly East Asian ancestry (which carries Altai/Chagyrskaya type), is consistent with the Ancient North Eurasian (ANE) component of First American ancestry. Native Americans derive approximately 35% of their ancestry from ANE populations — represented by individuals such as Malta (MA-1, ~24 kya) — and 65% from East Asian–related populations.</w:t>
      </w:r>
      <w:r>
        <w:rPr>
          <w:sz w:val="20"/>
          <w:vertAlign w:val="superscript"/>
        </w:rPr>
        <w:t>14</w:t>
      </w:r>
      <w:r>
        <w:rPr>
          <w:rFonts w:ascii="Times New Roman" w:hAnsi="Times New Roman"/>
          <w:sz w:val="24"/>
        </w:rPr>
        <w:t xml:space="preserve"> Since western Eurasian lineages now carry predominantly Vindija-type at ABO (57%), the ANE component likely introduced Vindija-type segments that subsequently drifted to fixation during the Beringian bottleneck (~25–15 kya), when the founding population comprised an estimated 250–2,000 individuals (Figure 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6" name="Picture 6"/>
            <wp:cNvGraphicFramePr>
              <a:graphicFrameLocks noChangeAspect="1"/>
            </wp:cNvGraphicFramePr>
            <a:graphic>
              <a:graphicData uri="http://schemas.openxmlformats.org/drawingml/2006/picture">
                <pic:pic>
                  <pic:nvPicPr>
                    <pic:cNvPr id="0" name="fig7_ane_model.png"/>
                    <pic:cNvPicPr/>
                  </pic:nvPicPr>
                  <pic:blipFill>
                    <a:blip r:embed="rId14"/>
                    <a:stretch>
                      <a:fillRect/>
                    </a:stretch>
                  </pic:blipFill>
                  <pic:spPr>
                    <a:xfrm>
                      <a:off x="0" y="0"/>
                      <a:ext cx="5486400" cy="3468936"/>
                    </a:xfrm>
                    <a:prstGeom prst="rect"/>
                  </pic:spPr>
                </pic:pic>
              </a:graphicData>
            </a:graphic>
          </wp:inline>
        </w:drawing>
      </w:r>
    </w:p>
    <w:p>
      <w:r>
        <w:rPr>
          <w:b/>
          <w:sz w:val="22"/>
        </w:rPr>
        <w:t xml:space="preserve">Figure 7. </w:t>
      </w:r>
      <w:r>
        <w:rPr>
          <w:sz w:val="22"/>
        </w:rPr>
        <w:t>Revised ANE dual ancestry model incorporating ancient DNA evidence. Yellow shading indicates the ANE lineage; blue indicates the East Asian lineage. Ancient DNA results from Petr et al. 2024 are annotated at respective time points. The model accounts for the exclusive Vindija-type Neanderthal DNA at ABO in Indigenous Americans through the ANE ancestry component (~35%), which carried Vindija-type segments from western Eurasia into the Americas.</w:t>
      </w:r>
    </w:p>
    <w:p>
      <w:pPr/>
      <w:r>
        <w:rPr>
          <w:rFonts w:ascii="Times New Roman" w:hAnsi="Times New Roman"/>
          <w:sz w:val="24"/>
        </w:rPr>
        <w:t>Direct examination of ancient genomes from Petr et al.</w:t>
      </w:r>
      <w:r>
        <w:rPr>
          <w:sz w:val="20"/>
          <w:vertAlign w:val="superscript"/>
        </w:rPr>
        <w:t>16</w:t>
      </w:r>
      <w:r>
        <w:rPr>
          <w:rFonts w:ascii="Times New Roman" w:hAnsi="Times New Roman"/>
          <w:sz w:val="24"/>
        </w:rPr>
        <w:t xml:space="preserve"> revealed a striking temporal shift at the ABO locus (Figure 8). All classifiable ancient segments (&gt;8 kya) from West Eurasian individuals were Altai-type (50%) or Chagyrskaya-type (50%), with zero Vindija representation (n = 10). In contrast, present-day West Eurasians showed 57.1% Vindija-type (n = 14; Fisher exact test, p = 0.003). The ANE-lineage individual Yana2 (31.6 kya) carried a Chagyrskaya-type segment upstream of ABO, while Malta (24 kya, ANE) and Anzick (12.6 kya, Clovis) lacked introgression at this locus entirely. This temporal shift — from Altai/Chagyrskaya dominance in the Upper Paleolithic to Vindija dominance in the present — parallels the genome-wide observation by Petr et al. that Neanderthal ancestry composition changed over time in European populations.</w:t>
      </w:r>
    </w:p>
    <w:p>
      <w:pPr>
        <w:jc w:val="center"/>
      </w:pPr>
      <w:r>
        <w:drawing>
          <wp:inline xmlns:a="http://schemas.openxmlformats.org/drawingml/2006/main" xmlns:pic="http://schemas.openxmlformats.org/drawingml/2006/picture">
            <wp:extent cx="5486400" cy="2712726"/>
            <wp:docPr id="7" name="Picture 7"/>
            <wp:cNvGraphicFramePr>
              <a:graphicFrameLocks noChangeAspect="1"/>
            </wp:cNvGraphicFramePr>
            <a:graphic>
              <a:graphicData uri="http://schemas.openxmlformats.org/drawingml/2006/picture">
                <pic:pic>
                  <pic:nvPicPr>
                    <pic:cNvPr id="0" name="fig8_temporal_dynamics.png"/>
                    <pic:cNvPicPr/>
                  </pic:nvPicPr>
                  <pic:blipFill>
                    <a:blip r:embed="rId15"/>
                    <a:stretch>
                      <a:fillRect/>
                    </a:stretch>
                  </pic:blipFill>
                  <pic:spPr>
                    <a:xfrm>
                      <a:off x="0" y="0"/>
                      <a:ext cx="5486400" cy="2712726"/>
                    </a:xfrm>
                    <a:prstGeom prst="rect"/>
                  </pic:spPr>
                </pic:pic>
              </a:graphicData>
            </a:graphic>
          </wp:inline>
        </w:drawing>
      </w:r>
    </w:p>
    <w:p>
      <w:r>
        <w:rPr>
          <w:b/>
          <w:sz w:val="22"/>
        </w:rPr>
        <w:t xml:space="preserve">Figure 8. </w:t>
      </w:r>
      <w:r>
        <w:rPr>
          <w:sz w:val="22"/>
        </w:rPr>
        <w:t>Temporal dynamics of Neanderthal sub-lineage at the ABO locus. (A) Individual ancient genomes plotted by age, with color and shape indicating closest sub-lineage reference (Altai, Chagyrskaya, or Vindija). (B) Stacked bar comparison of sub-lineage composition between ancient (&gt;8 kya; all Altai/Chagyrskaya) and present-day (57.1% Vindija) West Eurasian populations. Fisher exact test p = 0.003.</w:t>
      </w:r>
    </w:p>
    <w:p>
      <w:pPr/>
      <w:r>
        <w:rPr>
          <w:rFonts w:ascii="Times New Roman" w:hAnsi="Times New Roman"/>
          <w:sz w:val="24"/>
        </w:rPr>
        <w:t>We further hypothesize that density-dependent pathogen selection explains why Indigenous Americans retained their ancestral sub-lineage composition while the Old World underwent progressive turnover toward Vindija-type. The Neolithic Demographic Transition in Eurasia — characterized by sedentism, animal domestication, and novel zoonotic diseases</w:t>
      </w:r>
      <w:r>
        <w:rPr>
          <w:sz w:val="20"/>
          <w:vertAlign w:val="superscript"/>
        </w:rPr>
        <w:t>17</w:t>
      </w:r>
      <w:r>
        <w:rPr>
          <w:rFonts w:ascii="Times New Roman" w:hAnsi="Times New Roman"/>
          <w:sz w:val="24"/>
        </w:rPr>
        <w:t xml:space="preserve"> — created selective pressures at immune-related loci including ABO,</w:t>
      </w:r>
      <w:r>
        <w:rPr>
          <w:sz w:val="20"/>
          <w:vertAlign w:val="superscript"/>
        </w:rPr>
        <w:t>10</w:t>
      </w:r>
      <w:r>
        <w:rPr>
          <w:rFonts w:ascii="Times New Roman" w:hAnsi="Times New Roman"/>
          <w:sz w:val="24"/>
        </w:rPr>
        <w:t xml:space="preserve"> driving sub-lineage turnover over ~10,000 years. Pre-contact American populations, with lower average population densities and fewer domesticated animal species, experienced weaker pathogen-driven selection, effectively ‘freezing’ the sub-lineage composition at the state present during initial colonization (~15 kya). This framework predicts a gradient: high-density post-Neolithic Eurasia shows rapid turnover (Vindija now 36–57%); East Asia retains Altai/Chagyrskaya (98%); and low-density Americas preserve 100% Vindija from the ANE component.</w:t>
      </w:r>
    </w:p>
    <w:p>
      <w:pPr/>
      <w:r>
        <w:rPr>
          <w:rFonts w:ascii="Times New Roman" w:hAnsi="Times New Roman"/>
          <w:sz w:val="24"/>
        </w:rPr>
        <w:t>These locus-specific findings — sub-lineage paradoxes reflecting ANE ancestry, temporal dynamics driven by pathogen selection, founder effects at ABO mirroring Beringian bottleneck signatures, and Denisovan segments found exclusively in South Asian populations (ITU: 10.3%, GIH: 9.7%) tracing indirect gene flow — demonstrated that archaic introgression patterns at even a single gene could encode rich migration history. This motivated the genome-wide extension: if one locus captures such detailed geographic and temporal signals, then the correlation of introgression patterns across ~6,000 genomic windows should provide a powerful tracer of population movements.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8</w:t>
      </w:r>
      <w:r>
        <w:rPr>
          <w:rFonts w:ascii="Times New Roman" w:hAnsi="Times New Roman"/>
          <w:sz w:val="24"/>
        </w:rPr>
        <w:t xml:space="preserve"> analyzed spatial gradients of aggregate Neanderthal ancestry proportions across Eurasian populations and recovered three migration waves. Their approach operates on mean ancestry fractions, treating Neanderthal DNA as a scalar value per population. Our approach instead compares the full introgression frequency profile — a vector of ~6,000 genomic bins — between population pairs, capturing which specific segments are shared rather than just how much total archaic DNA is present. This distinction matters because two populations can have identical mean Neanderthal ancestry (~1.4%) yet share different subsets of introgressed segments, reflecting different post-admixture drift histories.</w:t>
      </w:r>
    </w:p>
    <w:p>
      <w:pPr/>
      <w:r>
        <w:rPr>
          <w:rFonts w:ascii="Times New Roman" w:hAnsi="Times New Roman"/>
          <w:sz w:val="24"/>
        </w:rPr>
        <w:t>Petr et al.</w:t>
      </w:r>
      <w:r>
        <w:rPr>
          <w:sz w:val="20"/>
          <w:vertAlign w:val="superscript"/>
        </w:rPr>
        <w:t>18</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19</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several specific, falsifiable predictions:</w:t>
      </w:r>
    </w:p>
    <w:p>
      <w:pPr/>
      <w:r>
        <w:rPr>
          <w:rFonts w:ascii="Times New Roman" w:hAnsi="Times New Roman"/>
          <w:sz w:val="24"/>
        </w:rPr>
        <w:t>Prediction 1: Ancient genomes from Beringia. If high-coverage genomes become available from the Beringian Standstill period (~24,000-18,000 years ago), their Neanderthal introgression profiles should show elevated sharing correlations with both East Asian (CHB, CHS, JPT) and Native American (Karitiana, Surui, Pima) modern populations, bridging the gap that currently separates these groups in our sharing matrix. The predicted sharing correlation should be r &gt; 0.6 with both groups, higher than the r ~ 0.3-0.4 currently observed between modern East Asian and South American populations.</w:t>
      </w:r>
    </w:p>
    <w:p>
      <w:pPr/>
      <w:r>
        <w:rPr>
          <w:rFonts w:ascii="Times New Roman" w:hAnsi="Times New Roman"/>
          <w:sz w:val="24"/>
        </w:rPr>
        <w:t>Prediction 2: Denisovan segment phylogeny. If the distinct Denisovan lineages identified by Jacobs et al.</w:t>
      </w:r>
      <w:r>
        <w:rPr>
          <w:sz w:val="20"/>
          <w:vertAlign w:val="superscript"/>
        </w:rPr>
        <w:t>5</w:t>
      </w:r>
      <w:r>
        <w:rPr>
          <w:rFonts w:ascii="Times New Roman" w:hAnsi="Times New Roman"/>
          <w:sz w:val="24"/>
        </w:rPr>
        <w:t xml:space="preserve"> can be classified at the segment level, the Oceanian-type segments should be completely absent in Japanese and Korean populations (consistent with the JEWEL study finding of only 1.47 Mb Denisovan DNA in Japanese genomes</w:t>
      </w:r>
      <w:r>
        <w:rPr>
          <w:sz w:val="20"/>
          <w:vertAlign w:val="superscript"/>
        </w:rPr>
        <w:t>20</w:t>
      </w:r>
      <w:r>
        <w:rPr>
          <w:rFonts w:ascii="Times New Roman" w:hAnsi="Times New Roman"/>
          <w:sz w:val="24"/>
        </w:rPr>
        <w:t>), while the East Asian-type segments should show a north-south gradient within East Asia consistent with a Southeast Asian admixture source.</w:t>
      </w:r>
    </w:p>
    <w:p>
      <w:pPr/>
      <w:r>
        <w:rPr>
          <w:rFonts w:ascii="Times New Roman" w:hAnsi="Times New Roman"/>
          <w:sz w:val="24"/>
        </w:rPr>
        <w:t>Prediction 3: Population Y signal. Skoglund et al. identified ~2% Australasian-like ancestry in Amazonian populations (Surui, Karitiana).</w:t>
      </w:r>
      <w:r>
        <w:rPr>
          <w:sz w:val="20"/>
          <w:vertAlign w:val="superscript"/>
        </w:rPr>
        <w:t>21</w:t>
      </w:r>
      <w:r>
        <w:rPr>
          <w:rFonts w:ascii="Times New Roman" w:hAnsi="Times New Roman"/>
          <w:sz w:val="24"/>
        </w:rPr>
        <w:t xml:space="preserve"> If this ancestry derives from a population with Oceanian-type Denisovan DNA, then the Denisovan sharing correlation between Surui/Karitiana and Papuan populations should be detectably higher than between other Native American populations and Papuans. Current sample sizes (n ~ 20 per population) may be insufficient, but targeted sequencing of ~100 individuals per group should provide adequate power.</w:t>
      </w:r>
    </w:p>
    <w:p>
      <w:pPr/>
      <w:r>
        <w:rPr>
          <w:rFonts w:ascii="Times New Roman" w:hAnsi="Times New Roman"/>
          <w:sz w:val="24"/>
        </w:rPr>
        <w:t>Prediction 4: Post-Columbian admixture as a positive control. The high Neanderthal sharing observed between admixed American populations (PUR, CLM) and European populations should disappear entirely when conditioning on the European ancestry component of the admixed individuals. This provides a methodological validation: if our approach correctly attributes this elevated sharing to recent admixture rather than ancient connection, it confirms that the corrected residuals reflect genuinely ancient signals.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4.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8" name="Picture 8"/>
            <wp:cNvGraphicFramePr>
              <a:graphicFrameLocks noChangeAspect="1"/>
            </wp:cNvGraphicFramePr>
            <a:graphic>
              <a:graphicData uri="http://schemas.openxmlformats.org/drawingml/2006/picture">
                <pic:pic>
                  <pic:nvPicPr>
                    <pic:cNvPr id="0" name="fig4_bivariate_world_map.png"/>
                    <pic:cNvPicPr/>
                  </pic:nvPicPr>
                  <pic:blipFill>
                    <a:blip r:embed="rId16"/>
                    <a:stretch>
                      <a:fillRect/>
                    </a:stretch>
                  </pic:blipFill>
                  <pic:spPr>
                    <a:xfrm>
                      <a:off x="0" y="0"/>
                      <a:ext cx="5486400" cy="3322646"/>
                    </a:xfrm>
                    <a:prstGeom prst="rect"/>
                  </pic:spPr>
                </pic:pic>
              </a:graphicData>
            </a:graphic>
          </wp:inline>
        </w:drawing>
      </w:r>
    </w:p>
    <w:p>
      <w:r>
        <w:rPr>
          <w:b/>
          <w:sz w:val="22"/>
        </w:rPr>
        <w:t xml:space="preserve">Figure 4.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 and Caveats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We have proposed that pairwise archaic introgression sharing — the correlation of introgression frequency profiles between populations — can serve as an independent tracer of ancient human migration. Using publicly available data, we demonstrated that archaic introgression patterns encode meaningful geographic signals at both single-locus and genome-wide scales. At the ABO locus, sub-lineage analysis revealed a geographic paradox — exclusive Vindija-type in Indigenous Americans versus Altai/Chagyrskaya in East Asia — consistent with ANE ancestry, supported by a temporal shift from Altai/Chagyrskaya to Vindija dominance over 30,000 years (p = 0.003), and potentially driven by density-dependent pathogen selection that ‘froze’ the ancestral composition in low-density Americas. At the genome-wide level, the Denisovan Wallace Line boundary, Neanderthal-mediated Beringian connections, and confounding effects of post-Columbian admixture all emerge as interpretable signals.</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