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transparent decision-analytics framework for evaluating healthcare workforce policy levers",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and operations research for healthcare decisions. Our study treats specialty physician workforce planning as a healthcare resource-allocation problem and uses the litigation-workforce question as a test case for a transparent, reproducible decision-analytics framework. The analytical contribution is diagnostic: we show how two common observational fallacies—size confounding and interpolation of sparse panel data—can be identified and removed when a proposed policy lever (malpractice-litigation risk) is evaluated against workforce outcomes, and we add cluster block-bootstrap and power diagnostics to the standard fixed-effects / equivalence-testing toolkit.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small-cluster inference, equivalence (TOST) testing, and bootstrap robustness checks. The effect of litigation risk on physician and hospital growth is statistically equivalent to a null within policy-relevant margins. We show that count-based associations disappear once specialty-size confounding and interpolation are removed, and we discuss how behavioural-economics mechanisms (saliency, loss aversion, status-quo bias) and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