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w:t>
        <w:br/>
        <w:t>From Maritime Isolation to Technological Access Denial</w:t>
        <w:br/>
        <w:t>in the Long Run of History</w:t>
      </w:r>
    </w:p>
    <w:p/>
    <w:p>
      <w:pPr>
        <w:jc w:val="center"/>
      </w:pPr>
      <w:r>
        <w:rPr>
          <w:sz w:val="22"/>
        </w:rPr>
        <w:t>[Author Name]</w:t>
        <w:br/>
        <w:t>[Affiliation]</w:t>
        <w:br/>
        <w:t>[Email]</w:t>
      </w:r>
    </w:p>
    <w:p/>
    <w:p/>
    <w:p>
      <w:pPr>
        <w:pStyle w:val="Heading2"/>
      </w:pPr>
      <w:r>
        <w:t>Abstract</w:t>
      </w:r>
    </w:p>
    <w:p>
      <w: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Multivariate logistic regression confirms that external threat and institutional quality are the strongest predictors of collapse, while the stock–flow odds ratio (OR = 1.774) remains stable across all scenarios.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r>
        <w:rPr>
          <w:b/>
        </w:rPr>
        <w:t xml:space="preserve">Keywords: </w:t>
      </w:r>
      <w:r>
        <w:t>network exclusion; economic history; maritime closure; state collapse; technological access; sensitivity analysis</w:t>
      </w:r>
    </w:p>
    <w:p>
      <w:r>
        <w:rPr>
          <w:b/>
        </w:rPr>
        <w:t xml:space="preserve">JEL Classification: </w:t>
      </w:r>
      <w:r>
        <w:t>N40, N70, F50, O33, C12</w:t>
      </w:r>
    </w:p>
    <w:p>
      <w:r>
        <w:br w:type="page"/>
      </w:r>
    </w:p>
    <w:p>
      <w:pPr>
        <w:pStyle w:val="Heading1"/>
      </w:pPr>
      <w:r>
        <w:t>1  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on trade openness and state survival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no regular maritime routes connected them to the major trading systems of their era.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takes the form of a 'technical maritime ban'—the absence of regular sea routes—but the underlying mechanism generalizes across eras. Third, we conduct a systematic sensitivity analysis in which seven technically excluded polities are reclassified from 'no closure' to 'technical maritime ban,'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2 describes the dataset and classification framework. Section 3 presents the analytical methods. Section 4 reports the baseline results. Section 5 details the sensitivity analysis. Section 6 discusses implications, including the extension to technological access exclusion, and Section 7 concludes.</w:t>
      </w:r>
    </w:p>
    <w:p>
      <w:pPr>
        <w:pStyle w:val="Heading1"/>
      </w:pPr>
      <w:r>
        <w:t>2  Data and Classification</w:t>
      </w:r>
    </w:p>
    <w:p>
      <w:pPr>
        <w:pStyle w:val="Heading2"/>
      </w:pPr>
      <w:r>
        <w:t>2.1  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3.1).</w:t>
      </w:r>
    </w:p>
    <w:p>
      <w:pPr>
        <w:pStyle w:val="Heading2"/>
      </w:pPr>
      <w:r>
        <w:t>2.2  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maritime ban—involuntary isolation due to the absence of regular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2.3  Technical network exclusion: definition and candidates</w:t>
      </w:r>
    </w:p>
    <w:p>
      <w:r>
        <w:t>We define technical network exclusion, in its maritime-era form, as the condition in which no regular sea routes connected a polity to the major trading systems of its period. The key distinction from policy-based closure is the absence of agency: these polities did not choose isolation. Rather, the transport technology of their era had not yet extended regular maritime connectivity to their region.</w:t>
      </w:r>
    </w:p>
    <w:p>
      <w:r>
        <w:t>We identify seven reclassification candidates in two tiers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Polity</w:t>
            </w:r>
          </w:p>
        </w:tc>
        <w:tc>
          <w:tcPr>
            <w:tcW w:type="dxa" w:w="1881"/>
          </w:tcPr>
          <w:p>
            <w:r>
              <w:rPr>
                <w:b/>
                <w:sz w:val="20"/>
              </w:rPr>
              <w:t>Period</w:t>
            </w:r>
          </w:p>
        </w:tc>
        <w:tc>
          <w:tcPr>
            <w:tcW w:type="dxa" w:w="1881"/>
          </w:tcPr>
          <w:p>
            <w:r>
              <w:rPr>
                <w:b/>
                <w:sz w:val="20"/>
              </w:rPr>
              <w:t>Tier</w:t>
            </w:r>
          </w:p>
        </w:tc>
        <w:tc>
          <w:tcPr>
            <w:tcW w:type="dxa" w:w="1881"/>
          </w:tcPr>
          <w:p>
            <w:r>
              <w:rPr>
                <w:b/>
                <w:sz w:val="20"/>
              </w:rPr>
              <w:t>Original Closure</w:t>
            </w:r>
          </w:p>
        </w:tc>
        <w:tc>
          <w:tcPr>
            <w:tcW w:type="dxa" w:w="1881"/>
          </w:tcPr>
          <w:p>
            <w:r>
              <w:rPr>
                <w:b/>
                <w:sz w:val="20"/>
              </w:rPr>
              <w:t>Rationale</w:t>
            </w:r>
          </w:p>
        </w:tc>
      </w:tr>
      <w:tr>
        <w:tc>
          <w:tcPr>
            <w:tcW w:type="dxa" w:w="1881"/>
          </w:tcPr>
          <w:p>
            <w:r>
              <w:rPr>
                <w:sz w:val="18"/>
              </w:rPr>
              <w:t>Han Dynasty (China)</w:t>
            </w:r>
          </w:p>
        </w:tc>
        <w:tc>
          <w:tcPr>
            <w:tcW w:type="dxa" w:w="1881"/>
          </w:tcPr>
          <w:p>
            <w:r>
              <w:rPr>
                <w:sz w:val="18"/>
              </w:rPr>
              <w:t>BC206-AD220</w:t>
            </w:r>
          </w:p>
        </w:tc>
        <w:tc>
          <w:tcPr>
            <w:tcW w:type="dxa" w:w="1881"/>
          </w:tcPr>
          <w:p>
            <w:r>
              <w:rPr>
                <w:sz w:val="18"/>
              </w:rPr>
              <w:t>Strong</w:t>
            </w:r>
          </w:p>
        </w:tc>
        <w:tc>
          <w:tcPr>
            <w:tcW w:type="dxa" w:w="1881"/>
          </w:tcPr>
          <w:p>
            <w:r>
              <w:rPr>
                <w:sz w:val="18"/>
              </w:rPr>
              <w:t>None</w:t>
            </w:r>
          </w:p>
        </w:tc>
        <w:tc>
          <w:tcPr>
            <w:tcW w:type="dxa" w:w="1881"/>
          </w:tcPr>
          <w:p>
            <w:r>
              <w:rPr>
                <w:sz w:val="18"/>
              </w:rPr>
              <w:t>No regular sea route from Mediterranean. Silk Road overland only.</w:t>
            </w:r>
          </w:p>
        </w:tc>
      </w:tr>
      <w:tr>
        <w:tc>
          <w:tcPr>
            <w:tcW w:type="dxa" w:w="1881"/>
          </w:tcPr>
          <w:p>
            <w:r>
              <w:rPr>
                <w:sz w:val="18"/>
              </w:rPr>
              <w:t>Mali Empire</w:t>
            </w:r>
          </w:p>
        </w:tc>
        <w:tc>
          <w:tcPr>
            <w:tcW w:type="dxa" w:w="1881"/>
          </w:tcPr>
          <w:p>
            <w:r>
              <w:rPr>
                <w:sz w:val="18"/>
              </w:rPr>
              <w:t>AD1235-AD1600</w:t>
            </w:r>
          </w:p>
        </w:tc>
        <w:tc>
          <w:tcPr>
            <w:tcW w:type="dxa" w:w="1881"/>
          </w:tcPr>
          <w:p>
            <w:r>
              <w:rPr>
                <w:sz w:val="18"/>
              </w:rPr>
              <w:t>Strong</w:t>
            </w:r>
          </w:p>
        </w:tc>
        <w:tc>
          <w:tcPr>
            <w:tcW w:type="dxa" w:w="1881"/>
          </w:tcPr>
          <w:p>
            <w:r>
              <w:rPr>
                <w:sz w:val="18"/>
              </w:rPr>
              <w:t>None</w:t>
            </w:r>
          </w:p>
        </w:tc>
        <w:tc>
          <w:tcPr>
            <w:tcW w:type="dxa" w:w="1881"/>
          </w:tcPr>
          <w:p>
            <w:r>
              <w:rPr>
                <w:sz w:val="18"/>
              </w:rPr>
              <w:t>No Atlantic maritime route until Portuguese exploration (15th c.). Trans-Saharan caravan only.</w:t>
            </w:r>
          </w:p>
        </w:tc>
      </w:tr>
      <w:tr>
        <w:tc>
          <w:tcPr>
            <w:tcW w:type="dxa" w:w="1881"/>
          </w:tcPr>
          <w:p>
            <w:r>
              <w:rPr>
                <w:sz w:val="18"/>
              </w:rPr>
              <w:t>Khmer Empire (Angkor)</w:t>
            </w:r>
          </w:p>
        </w:tc>
        <w:tc>
          <w:tcPr>
            <w:tcW w:type="dxa" w:w="1881"/>
          </w:tcPr>
          <w:p>
            <w:r>
              <w:rPr>
                <w:sz w:val="18"/>
              </w:rPr>
              <w:t>AD802-AD1431</w:t>
            </w:r>
          </w:p>
        </w:tc>
        <w:tc>
          <w:tcPr>
            <w:tcW w:type="dxa" w:w="1881"/>
          </w:tcPr>
          <w:p>
            <w:r>
              <w:rPr>
                <w:sz w:val="18"/>
              </w:rPr>
              <w:t>Strong</w:t>
            </w:r>
          </w:p>
        </w:tc>
        <w:tc>
          <w:tcPr>
            <w:tcW w:type="dxa" w:w="1881"/>
          </w:tcPr>
          <w:p>
            <w:r>
              <w:rPr>
                <w:sz w:val="18"/>
              </w:rPr>
              <w:t>None</w:t>
            </w:r>
          </w:p>
        </w:tc>
        <w:tc>
          <w:tcPr>
            <w:tcW w:type="dxa" w:w="1881"/>
          </w:tcPr>
          <w:p>
            <w:r>
              <w:rPr>
                <w:sz w:val="18"/>
              </w:rPr>
              <w:t>Inland polity; no direct oceanic access unlike maritime Srivijaya.</w:t>
            </w:r>
          </w:p>
        </w:tc>
      </w:tr>
      <w:tr>
        <w:tc>
          <w:tcPr>
            <w:tcW w:type="dxa" w:w="1881"/>
          </w:tcPr>
          <w:p>
            <w:r>
              <w:rPr>
                <w:sz w:val="18"/>
              </w:rPr>
              <w:t>Kievan Rus'</w:t>
            </w:r>
          </w:p>
        </w:tc>
        <w:tc>
          <w:tcPr>
            <w:tcW w:type="dxa" w:w="1881"/>
          </w:tcPr>
          <w:p>
            <w:r>
              <w:rPr>
                <w:sz w:val="18"/>
              </w:rPr>
              <w:t>AD882-AD1240</w:t>
            </w:r>
          </w:p>
        </w:tc>
        <w:tc>
          <w:tcPr>
            <w:tcW w:type="dxa" w:w="1881"/>
          </w:tcPr>
          <w:p>
            <w:r>
              <w:rPr>
                <w:sz w:val="18"/>
              </w:rPr>
              <w:t>Strong</w:t>
            </w:r>
          </w:p>
        </w:tc>
        <w:tc>
          <w:tcPr>
            <w:tcW w:type="dxa" w:w="1881"/>
          </w:tcPr>
          <w:p>
            <w:r>
              <w:rPr>
                <w:sz w:val="18"/>
              </w:rPr>
              <w:t>None</w:t>
            </w:r>
          </w:p>
        </w:tc>
        <w:tc>
          <w:tcPr>
            <w:tcW w:type="dxa" w:w="1881"/>
          </w:tcPr>
          <w:p>
            <w:r>
              <w:rPr>
                <w:sz w:val="18"/>
              </w:rPr>
              <w:t>Dnieper river trade (Varangian route); no regular oceanic routes.</w:t>
            </w:r>
          </w:p>
        </w:tc>
      </w:tr>
      <w:tr>
        <w:tc>
          <w:tcPr>
            <w:tcW w:type="dxa" w:w="1881"/>
          </w:tcPr>
          <w:p>
            <w:r>
              <w:rPr>
                <w:sz w:val="18"/>
              </w:rPr>
              <w:t>Timurid Empire</w:t>
            </w:r>
          </w:p>
        </w:tc>
        <w:tc>
          <w:tcPr>
            <w:tcW w:type="dxa" w:w="1881"/>
          </w:tcPr>
          <w:p>
            <w:r>
              <w:rPr>
                <w:sz w:val="18"/>
              </w:rPr>
              <w:t>AD1370-AD1507</w:t>
            </w:r>
          </w:p>
        </w:tc>
        <w:tc>
          <w:tcPr>
            <w:tcW w:type="dxa" w:w="1881"/>
          </w:tcPr>
          <w:p>
            <w:r>
              <w:rPr>
                <w:sz w:val="18"/>
              </w:rPr>
              <w:t>Strong</w:t>
            </w:r>
          </w:p>
        </w:tc>
        <w:tc>
          <w:tcPr>
            <w:tcW w:type="dxa" w:w="1881"/>
          </w:tcPr>
          <w:p>
            <w:r>
              <w:rPr>
                <w:sz w:val="18"/>
              </w:rPr>
              <w:t>None</w:t>
            </w:r>
          </w:p>
        </w:tc>
        <w:tc>
          <w:tcPr>
            <w:tcW w:type="dxa" w:w="1881"/>
          </w:tcPr>
          <w:p>
            <w:r>
              <w:rPr>
                <w:sz w:val="18"/>
              </w:rPr>
              <w:t>Completely landlocked; no maritime access. Silk Road overland only.</w:t>
            </w:r>
          </w:p>
        </w:tc>
      </w:tr>
      <w:tr>
        <w:tc>
          <w:tcPr>
            <w:tcW w:type="dxa" w:w="1881"/>
          </w:tcPr>
          <w:p>
            <w:r>
              <w:rPr>
                <w:sz w:val="18"/>
              </w:rPr>
              <w:t>Sasanian Persia</w:t>
            </w:r>
          </w:p>
        </w:tc>
        <w:tc>
          <w:tcPr>
            <w:tcW w:type="dxa" w:w="1881"/>
          </w:tcPr>
          <w:p>
            <w:r>
              <w:rPr>
                <w:sz w:val="18"/>
              </w:rPr>
              <w:t>AD224-AD651</w:t>
            </w:r>
          </w:p>
        </w:tc>
        <w:tc>
          <w:tcPr>
            <w:tcW w:type="dxa" w:w="1881"/>
          </w:tcPr>
          <w:p>
            <w:r>
              <w:rPr>
                <w:sz w:val="18"/>
              </w:rPr>
              <w:t>Moderate</w:t>
            </w:r>
          </w:p>
        </w:tc>
        <w:tc>
          <w:tcPr>
            <w:tcW w:type="dxa" w:w="1881"/>
          </w:tcPr>
          <w:p>
            <w:r>
              <w:rPr>
                <w:sz w:val="18"/>
              </w:rPr>
              <w:t>None</w:t>
            </w:r>
          </w:p>
        </w:tc>
        <w:tc>
          <w:tcPr>
            <w:tcW w:type="dxa" w:w="1881"/>
          </w:tcPr>
          <w:p>
            <w:r>
              <w:rPr>
                <w:sz w:val="18"/>
              </w:rPr>
              <w:t>Limited Persian Gulf trade; no regular Indian Ocean/Mediterranean sea routes established.</w:t>
            </w:r>
          </w:p>
        </w:tc>
      </w:tr>
      <w:tr>
        <w:tc>
          <w:tcPr>
            <w:tcW w:type="dxa" w:w="1881"/>
          </w:tcPr>
          <w:p>
            <w:r>
              <w:rPr>
                <w:sz w:val="18"/>
              </w:rPr>
              <w:t>Konbaung Burma</w:t>
            </w:r>
          </w:p>
        </w:tc>
        <w:tc>
          <w:tcPr>
            <w:tcW w:type="dxa" w:w="1881"/>
          </w:tcPr>
          <w:p>
            <w:r>
              <w:rPr>
                <w:sz w:val="18"/>
              </w:rPr>
              <w:t>AD1752-AD1885</w:t>
            </w:r>
          </w:p>
        </w:tc>
        <w:tc>
          <w:tcPr>
            <w:tcW w:type="dxa" w:w="1881"/>
          </w:tcPr>
          <w:p>
            <w:r>
              <w:rPr>
                <w:sz w:val="18"/>
              </w:rPr>
              <w:t>Moderate</w:t>
            </w:r>
          </w:p>
        </w:tc>
        <w:tc>
          <w:tcPr>
            <w:tcW w:type="dxa" w:w="1881"/>
          </w:tcPr>
          <w:p>
            <w:r>
              <w:rPr>
                <w:sz w:val="18"/>
              </w:rPr>
              <w:t>None</w:t>
            </w:r>
          </w:p>
        </w:tc>
        <w:tc>
          <w:tcPr>
            <w:tcW w:type="dxa" w:w="1881"/>
          </w:tcPr>
          <w:p>
            <w:r>
              <w:rPr>
                <w:sz w:val="18"/>
              </w:rPr>
              <w:t>Coastal access existed but no regular international sea routes until British arrival.</w:t>
            </w:r>
          </w:p>
        </w:tc>
      </w:tr>
    </w:tbl>
    <w:p>
      <w:r>
        <w:rPr>
          <w:b/>
          <w:sz w:val="20"/>
        </w:rPr>
        <w:t xml:space="preserve">Table 1  </w:t>
      </w:r>
      <w:r>
        <w:rPr>
          <w:sz w:val="20"/>
        </w:rPr>
        <w:t>Technical maritime ban reclassification candidates. 'Strong' candidates had no regular maritime routes; 'Moderate' candidates had limited or uncertain maritime connectivity.</w:t>
      </w:r>
    </w:p>
    <w:p>
      <w:pPr>
        <w:pStyle w:val="Heading1"/>
      </w:pPr>
      <w:r>
        <w:t>3  Methods</w:t>
      </w:r>
    </w:p>
    <w:p>
      <w:pPr>
        <w:pStyle w:val="Heading2"/>
      </w:pPr>
      <w:r>
        <w:t>3.1  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 overtaken' scenario, all 18 are coded as conquered (yielding 64 conquered, 32 survived); in the 'disrupted →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3.2  Stock–flow association</w:t>
      </w:r>
    </w:p>
    <w:p>
      <w:r>
        <w:t>We construct 2 × 2 tables crossing the predominant resource base (stock vs. flow) against the binarized outcome (overtaken vs. survived) and compute the odds ratio (OR), phi coefficient (φ), one-sided Fisher's exact test, and chi-squared test with Yates correction. Effect sizes are interpreted using Cohen's benchmarks for φ.</w:t>
      </w:r>
    </w:p>
    <w:p>
      <w:pPr>
        <w:pStyle w:val="Heading2"/>
      </w:pPr>
      <w:r>
        <w:t>3.3  Closure–conquest association</w:t>
      </w:r>
    </w:p>
    <w:p>
      <w:r>
        <w:t>For each of the six scenarios, we construct a 2 × 2 table crossing closure status (maritime closure vs. open) against the binarized outcome. The 'maritime closure' group includes polities coded as maritime ban, sakoku, or technical maritime ban. We compute one-sided Fisher's exact tests evaluating whether closure is associated with elevated conquest rates, and report relative risks alongside p-values.</w:t>
      </w:r>
    </w:p>
    <w:p>
      <w:pPr>
        <w:pStyle w:val="Heading2"/>
      </w:pPr>
      <w:r>
        <w:t>3.4  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maritime closure indicator. We report exponentiated coefficients (odds ratios) with 95% confidence intervals.</w:t>
      </w:r>
    </w:p>
    <w:p>
      <w:pPr>
        <w:pStyle w:val="Heading2"/>
      </w:pPr>
      <w:r>
        <w:t>3.5  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1"/>
      </w:pPr>
      <w:r>
        <w:t>4  Results</w:t>
      </w:r>
    </w:p>
    <w:p>
      <w:pPr>
        <w:pStyle w:val="Heading2"/>
      </w:pPr>
      <w:r>
        <w:t>4.1  Baseline stock–flow association</w:t>
      </w:r>
    </w:p>
    <w:p>
      <w:r>
        <w:t>Under the disrupted → overtaken assignment, the stock–flow 2 × 2 table yields OR = 1.774, φ = 0.133, Fisher's exact p = 0.1390 (one-sided). Stock-oriented polities have a conquest rate of 73.3%, compared with 60.8% for flow-oriented polities—a small-to-medium effect by Cohen's benchmarks. Under the disrupted →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4.2  Maritime closure and conquest</w:t>
      </w:r>
    </w:p>
    <w:p>
      <w:r>
        <w:t>Table 2 reports the closure–conquest association across all six scenarios. At baseline under the disrupted → overtaken assignment, polities with some form of maritime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8"/>
              </w:rPr>
              <w:t>Disrupted As</w:t>
            </w:r>
          </w:p>
        </w:tc>
        <w:tc>
          <w:tcPr>
            <w:tcW w:type="dxa" w:w="1176"/>
          </w:tcPr>
          <w:p>
            <w:r>
              <w:rPr>
                <w:b/>
                <w:sz w:val="18"/>
              </w:rPr>
              <w:t>Reclassification</w:t>
            </w:r>
          </w:p>
        </w:tc>
        <w:tc>
          <w:tcPr>
            <w:tcW w:type="dxa" w:w="1176"/>
          </w:tcPr>
          <w:p>
            <w:r>
              <w:rPr>
                <w:b/>
                <w:sz w:val="18"/>
              </w:rPr>
              <w:t>Closure n</w:t>
            </w:r>
          </w:p>
        </w:tc>
        <w:tc>
          <w:tcPr>
            <w:tcW w:type="dxa" w:w="1176"/>
          </w:tcPr>
          <w:p>
            <w:r>
              <w:rPr>
                <w:b/>
                <w:sz w:val="18"/>
              </w:rPr>
              <w:t>Closure Rate</w:t>
            </w:r>
          </w:p>
        </w:tc>
        <w:tc>
          <w:tcPr>
            <w:tcW w:type="dxa" w:w="1176"/>
          </w:tcPr>
          <w:p>
            <w:r>
              <w:rPr>
                <w:b/>
                <w:sz w:val="18"/>
              </w:rPr>
              <w:t>Open Rate</w:t>
            </w:r>
          </w:p>
        </w:tc>
        <w:tc>
          <w:tcPr>
            <w:tcW w:type="dxa" w:w="1176"/>
          </w:tcPr>
          <w:p>
            <w:r>
              <w:rPr>
                <w:b/>
                <w:sz w:val="18"/>
              </w:rPr>
              <w:t>RR</w:t>
            </w:r>
          </w:p>
        </w:tc>
        <w:tc>
          <w:tcPr>
            <w:tcW w:type="dxa" w:w="1176"/>
          </w:tcPr>
          <w:p>
            <w:r>
              <w:rPr>
                <w:b/>
                <w:sz w:val="18"/>
              </w:rPr>
              <w:t>Fisher p</w:t>
            </w:r>
          </w:p>
        </w:tc>
        <w:tc>
          <w:tcPr>
            <w:tcW w:type="dxa" w:w="1176"/>
          </w:tcPr>
          <w:p>
            <w:r>
              <w:rPr>
                <w:b/>
                <w:sz w:val="18"/>
              </w:rPr>
              <w:t>Sig.</w:t>
            </w:r>
          </w:p>
        </w:tc>
      </w:tr>
      <w:tr>
        <w:tc>
          <w:tcPr>
            <w:tcW w:type="dxa" w:w="1176"/>
          </w:tcPr>
          <w:p>
            <w:r>
              <w:rPr>
                <w:sz w:val="18"/>
              </w:rPr>
              <w:t>Overtaken</w:t>
            </w:r>
          </w:p>
        </w:tc>
        <w:tc>
          <w:tcPr>
            <w:tcW w:type="dxa" w:w="1176"/>
          </w:tcPr>
          <w:p>
            <w:r>
              <w:rPr>
                <w:sz w:val="18"/>
              </w:rPr>
              <w:t>Baseline</w:t>
            </w:r>
          </w:p>
        </w:tc>
        <w:tc>
          <w:tcPr>
            <w:tcW w:type="dxa" w:w="1176"/>
          </w:tcPr>
          <w:p>
            <w:r>
              <w:rPr>
                <w:sz w:val="18"/>
              </w:rPr>
              <w:t>15</w:t>
            </w:r>
          </w:p>
        </w:tc>
        <w:tc>
          <w:tcPr>
            <w:tcW w:type="dxa" w:w="1176"/>
          </w:tcPr>
          <w:p>
            <w:r>
              <w:rPr>
                <w:sz w:val="18"/>
              </w:rPr>
              <w:t>80.0%</w:t>
            </w:r>
          </w:p>
        </w:tc>
        <w:tc>
          <w:tcPr>
            <w:tcW w:type="dxa" w:w="1176"/>
          </w:tcPr>
          <w:p>
            <w:r>
              <w:rPr>
                <w:sz w:val="18"/>
              </w:rPr>
              <w:t>64.2%</w:t>
            </w:r>
          </w:p>
        </w:tc>
        <w:tc>
          <w:tcPr>
            <w:tcW w:type="dxa" w:w="1176"/>
          </w:tcPr>
          <w:p>
            <w:r>
              <w:rPr>
                <w:sz w:val="18"/>
              </w:rPr>
              <w:t>1.246</w:t>
            </w:r>
          </w:p>
        </w:tc>
        <w:tc>
          <w:tcPr>
            <w:tcW w:type="dxa" w:w="1176"/>
          </w:tcPr>
          <w:p>
            <w:r>
              <w:rPr>
                <w:sz w:val="18"/>
              </w:rPr>
              <w:t>0.1873</w:t>
            </w:r>
          </w:p>
        </w:tc>
        <w:tc>
          <w:tcPr>
            <w:tcW w:type="dxa" w:w="1176"/>
          </w:tcPr>
          <w:p>
            <w:r>
              <w:rPr>
                <w:sz w:val="18"/>
              </w:rPr>
            </w:r>
          </w:p>
        </w:tc>
      </w:tr>
      <w:tr>
        <w:tc>
          <w:tcPr>
            <w:tcW w:type="dxa" w:w="1176"/>
          </w:tcPr>
          <w:p>
            <w:r>
              <w:rPr>
                <w:sz w:val="18"/>
              </w:rPr>
              <w:t>Overtaken</w:t>
            </w:r>
          </w:p>
        </w:tc>
        <w:tc>
          <w:tcPr>
            <w:tcW w:type="dxa" w:w="1176"/>
          </w:tcPr>
          <w:p>
            <w:r>
              <w:rPr>
                <w:sz w:val="18"/>
              </w:rPr>
              <w:t>+5 Strong</w:t>
            </w:r>
          </w:p>
        </w:tc>
        <w:tc>
          <w:tcPr>
            <w:tcW w:type="dxa" w:w="1176"/>
          </w:tcPr>
          <w:p>
            <w:r>
              <w:rPr>
                <w:sz w:val="18"/>
              </w:rPr>
              <w:t>20</w:t>
            </w:r>
          </w:p>
        </w:tc>
        <w:tc>
          <w:tcPr>
            <w:tcW w:type="dxa" w:w="1176"/>
          </w:tcPr>
          <w:p>
            <w:r>
              <w:rPr>
                <w:sz w:val="18"/>
              </w:rPr>
              <w:t>85.0%</w:t>
            </w:r>
          </w:p>
        </w:tc>
        <w:tc>
          <w:tcPr>
            <w:tcW w:type="dxa" w:w="1176"/>
          </w:tcPr>
          <w:p>
            <w:r>
              <w:rPr>
                <w:sz w:val="18"/>
              </w:rPr>
              <w:t>61.8%</w:t>
            </w:r>
          </w:p>
        </w:tc>
        <w:tc>
          <w:tcPr>
            <w:tcW w:type="dxa" w:w="1176"/>
          </w:tcPr>
          <w:p>
            <w:r>
              <w:rPr>
                <w:sz w:val="18"/>
              </w:rPr>
              <w:t>1.374</w:t>
            </w:r>
          </w:p>
        </w:tc>
        <w:tc>
          <w:tcPr>
            <w:tcW w:type="dxa" w:w="1176"/>
          </w:tcPr>
          <w:p>
            <w:r>
              <w:rPr>
                <w:sz w:val="18"/>
              </w:rPr>
              <w:t>0.0413</w:t>
            </w:r>
          </w:p>
        </w:tc>
        <w:tc>
          <w:tcPr>
            <w:tcW w:type="dxa" w:w="1176"/>
          </w:tcPr>
          <w:p>
            <w:r>
              <w:rPr>
                <w:sz w:val="18"/>
              </w:rPr>
              <w:t>*</w:t>
            </w:r>
          </w:p>
        </w:tc>
      </w:tr>
      <w:tr>
        <w:tc>
          <w:tcPr>
            <w:tcW w:type="dxa" w:w="1176"/>
          </w:tcPr>
          <w:p>
            <w:r>
              <w:rPr>
                <w:sz w:val="18"/>
              </w:rPr>
              <w:t>Overtaken</w:t>
            </w:r>
          </w:p>
        </w:tc>
        <w:tc>
          <w:tcPr>
            <w:tcW w:type="dxa" w:w="1176"/>
          </w:tcPr>
          <w:p>
            <w:r>
              <w:rPr>
                <w:sz w:val="18"/>
              </w:rPr>
              <w:t>+7 All</w:t>
            </w:r>
          </w:p>
        </w:tc>
        <w:tc>
          <w:tcPr>
            <w:tcW w:type="dxa" w:w="1176"/>
          </w:tcPr>
          <w:p>
            <w:r>
              <w:rPr>
                <w:sz w:val="18"/>
              </w:rPr>
              <w:t>22</w:t>
            </w:r>
          </w:p>
        </w:tc>
        <w:tc>
          <w:tcPr>
            <w:tcW w:type="dxa" w:w="1176"/>
          </w:tcPr>
          <w:p>
            <w:r>
              <w:rPr>
                <w:sz w:val="18"/>
              </w:rPr>
              <w:t>86.4%</w:t>
            </w:r>
          </w:p>
        </w:tc>
        <w:tc>
          <w:tcPr>
            <w:tcW w:type="dxa" w:w="1176"/>
          </w:tcPr>
          <w:p>
            <w:r>
              <w:rPr>
                <w:sz w:val="18"/>
              </w:rPr>
              <w:t>60.8%</w:t>
            </w:r>
          </w:p>
        </w:tc>
        <w:tc>
          <w:tcPr>
            <w:tcW w:type="dxa" w:w="1176"/>
          </w:tcPr>
          <w:p>
            <w:r>
              <w:rPr>
                <w:sz w:val="18"/>
              </w:rPr>
              <w:t>1.420</w:t>
            </w:r>
          </w:p>
        </w:tc>
        <w:tc>
          <w:tcPr>
            <w:tcW w:type="dxa" w:w="1176"/>
          </w:tcPr>
          <w:p>
            <w:r>
              <w:rPr>
                <w:sz w:val="18"/>
              </w:rPr>
              <w:t>0.0204</w:t>
            </w:r>
          </w:p>
        </w:tc>
        <w:tc>
          <w:tcPr>
            <w:tcW w:type="dxa" w:w="1176"/>
          </w:tcPr>
          <w:p>
            <w:r>
              <w:rPr>
                <w:sz w:val="18"/>
              </w:rPr>
              <w:t>*</w:t>
            </w:r>
          </w:p>
        </w:tc>
      </w:tr>
      <w:tr>
        <w:tc>
          <w:tcPr>
            <w:tcW w:type="dxa" w:w="1176"/>
          </w:tcPr>
          <w:p>
            <w:r>
              <w:rPr>
                <w:sz w:val="18"/>
              </w:rPr>
              <w:t>Survived</w:t>
            </w:r>
          </w:p>
        </w:tc>
        <w:tc>
          <w:tcPr>
            <w:tcW w:type="dxa" w:w="1176"/>
          </w:tcPr>
          <w:p>
            <w:r>
              <w:rPr>
                <w:sz w:val="18"/>
              </w:rPr>
              <w:t>Baseline</w:t>
            </w:r>
          </w:p>
        </w:tc>
        <w:tc>
          <w:tcPr>
            <w:tcW w:type="dxa" w:w="1176"/>
          </w:tcPr>
          <w:p>
            <w:r>
              <w:rPr>
                <w:sz w:val="18"/>
              </w:rPr>
              <w:t>15</w:t>
            </w:r>
          </w:p>
        </w:tc>
        <w:tc>
          <w:tcPr>
            <w:tcW w:type="dxa" w:w="1176"/>
          </w:tcPr>
          <w:p>
            <w:r>
              <w:rPr>
                <w:sz w:val="18"/>
              </w:rPr>
              <w:t>66.7%</w:t>
            </w:r>
          </w:p>
        </w:tc>
        <w:tc>
          <w:tcPr>
            <w:tcW w:type="dxa" w:w="1176"/>
          </w:tcPr>
          <w:p>
            <w:r>
              <w:rPr>
                <w:sz w:val="18"/>
              </w:rPr>
              <w:t>44.4%</w:t>
            </w:r>
          </w:p>
        </w:tc>
        <w:tc>
          <w:tcPr>
            <w:tcW w:type="dxa" w:w="1176"/>
          </w:tcPr>
          <w:p>
            <w:r>
              <w:rPr>
                <w:sz w:val="18"/>
              </w:rPr>
              <w:t>1.500</w:t>
            </w:r>
          </w:p>
        </w:tc>
        <w:tc>
          <w:tcPr>
            <w:tcW w:type="dxa" w:w="1176"/>
          </w:tcPr>
          <w:p>
            <w:r>
              <w:rPr>
                <w:sz w:val="18"/>
              </w:rPr>
              <w:t>0.0964</w:t>
            </w:r>
          </w:p>
        </w:tc>
        <w:tc>
          <w:tcPr>
            <w:tcW w:type="dxa" w:w="1176"/>
          </w:tcPr>
          <w:p>
            <w:r>
              <w:rPr>
                <w:sz w:val="18"/>
              </w:rPr>
            </w:r>
          </w:p>
        </w:tc>
      </w:tr>
      <w:tr>
        <w:tc>
          <w:tcPr>
            <w:tcW w:type="dxa" w:w="1176"/>
          </w:tcPr>
          <w:p>
            <w:r>
              <w:rPr>
                <w:sz w:val="18"/>
              </w:rPr>
              <w:t>Survived</w:t>
            </w:r>
          </w:p>
        </w:tc>
        <w:tc>
          <w:tcPr>
            <w:tcW w:type="dxa" w:w="1176"/>
          </w:tcPr>
          <w:p>
            <w:r>
              <w:rPr>
                <w:sz w:val="18"/>
              </w:rPr>
              <w:t>+5 Strong</w:t>
            </w:r>
          </w:p>
        </w:tc>
        <w:tc>
          <w:tcPr>
            <w:tcW w:type="dxa" w:w="1176"/>
          </w:tcPr>
          <w:p>
            <w:r>
              <w:rPr>
                <w:sz w:val="18"/>
              </w:rPr>
              <w:t>20</w:t>
            </w:r>
          </w:p>
        </w:tc>
        <w:tc>
          <w:tcPr>
            <w:tcW w:type="dxa" w:w="1176"/>
          </w:tcPr>
          <w:p>
            <w:r>
              <w:rPr>
                <w:sz w:val="18"/>
              </w:rPr>
              <w:t>75.0%</w:t>
            </w:r>
          </w:p>
        </w:tc>
        <w:tc>
          <w:tcPr>
            <w:tcW w:type="dxa" w:w="1176"/>
          </w:tcPr>
          <w:p>
            <w:r>
              <w:rPr>
                <w:sz w:val="18"/>
              </w:rPr>
              <w:t>40.8%</w:t>
            </w:r>
          </w:p>
        </w:tc>
        <w:tc>
          <w:tcPr>
            <w:tcW w:type="dxa" w:w="1176"/>
          </w:tcPr>
          <w:p>
            <w:r>
              <w:rPr>
                <w:sz w:val="18"/>
              </w:rPr>
              <w:t>1.839</w:t>
            </w:r>
          </w:p>
        </w:tc>
        <w:tc>
          <w:tcPr>
            <w:tcW w:type="dxa" w:w="1176"/>
          </w:tcPr>
          <w:p>
            <w:r>
              <w:rPr>
                <w:sz w:val="18"/>
              </w:rPr>
              <w:t>0.0062</w:t>
            </w:r>
          </w:p>
        </w:tc>
        <w:tc>
          <w:tcPr>
            <w:tcW w:type="dxa" w:w="1176"/>
          </w:tcPr>
          <w:p>
            <w:r>
              <w:rPr>
                <w:sz w:val="18"/>
              </w:rPr>
              <w:t>*</w:t>
            </w:r>
          </w:p>
        </w:tc>
      </w:tr>
      <w:tr>
        <w:tc>
          <w:tcPr>
            <w:tcW w:type="dxa" w:w="1176"/>
          </w:tcPr>
          <w:p>
            <w:r>
              <w:rPr>
                <w:sz w:val="18"/>
              </w:rPr>
              <w:t>Survived</w:t>
            </w:r>
          </w:p>
        </w:tc>
        <w:tc>
          <w:tcPr>
            <w:tcW w:type="dxa" w:w="1176"/>
          </w:tcPr>
          <w:p>
            <w:r>
              <w:rPr>
                <w:sz w:val="18"/>
              </w:rPr>
              <w:t>+7 All</w:t>
            </w:r>
          </w:p>
        </w:tc>
        <w:tc>
          <w:tcPr>
            <w:tcW w:type="dxa" w:w="1176"/>
          </w:tcPr>
          <w:p>
            <w:r>
              <w:rPr>
                <w:sz w:val="18"/>
              </w:rPr>
              <w:t>22</w:t>
            </w:r>
          </w:p>
        </w:tc>
        <w:tc>
          <w:tcPr>
            <w:tcW w:type="dxa" w:w="1176"/>
          </w:tcPr>
          <w:p>
            <w:r>
              <w:rPr>
                <w:sz w:val="18"/>
              </w:rPr>
              <w:t>77.3%</w:t>
            </w:r>
          </w:p>
        </w:tc>
        <w:tc>
          <w:tcPr>
            <w:tcW w:type="dxa" w:w="1176"/>
          </w:tcPr>
          <w:p>
            <w:r>
              <w:rPr>
                <w:sz w:val="18"/>
              </w:rPr>
              <w:t>39.2%</w:t>
            </w:r>
          </w:p>
        </w:tc>
        <w:tc>
          <w:tcPr>
            <w:tcW w:type="dxa" w:w="1176"/>
          </w:tcPr>
          <w:p>
            <w:r>
              <w:rPr>
                <w:sz w:val="18"/>
              </w:rPr>
              <w:t>1.972</w:t>
            </w:r>
          </w:p>
        </w:tc>
        <w:tc>
          <w:tcPr>
            <w:tcW w:type="dxa" w:w="1176"/>
          </w:tcPr>
          <w:p>
            <w:r>
              <w:rPr>
                <w:sz w:val="18"/>
              </w:rPr>
              <w:t>0.0017</w:t>
            </w:r>
          </w:p>
        </w:tc>
        <w:tc>
          <w:tcPr>
            <w:tcW w:type="dxa" w:w="1176"/>
          </w:tcPr>
          <w:p>
            <w:r>
              <w:rPr>
                <w:sz w:val="18"/>
              </w:rPr>
              <w:t>*</w:t>
            </w:r>
          </w:p>
        </w:tc>
      </w:tr>
    </w:tbl>
    <w:p>
      <w:r>
        <w:rPr>
          <w:b/>
          <w:sz w:val="20"/>
        </w:rPr>
        <w:t xml:space="preserve">Table 2  </w:t>
      </w:r>
      <w:r>
        <w:rPr>
          <w:sz w:val="20"/>
        </w:rPr>
        <w:t>Maritime closure and conquest across six scenarios. * p &lt; 0.05.</w:t>
      </w:r>
    </w:p>
    <w:p>
      <w:r>
        <w:drawing>
          <wp:inline xmlns:a="http://schemas.openxmlformats.org/drawingml/2006/main" xmlns:pic="http://schemas.openxmlformats.org/drawingml/2006/picture">
            <wp:extent cx="5486400" cy="22821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2158"/>
                    </a:xfrm>
                    <a:prstGeom prst="rect"/>
                  </pic:spPr>
                </pic:pic>
              </a:graphicData>
            </a:graphic>
          </wp:inline>
        </w:drawing>
      </w:r>
    </w:p>
    <w:p>
      <w:r>
        <w:rPr>
          <w:b/>
          <w:sz w:val="20"/>
        </w:rPr>
        <w:t xml:space="preserve">Fig. 1  </w:t>
      </w:r>
      <w:r>
        <w:rPr>
          <w:sz w:val="20"/>
        </w:rPr>
        <w:t>Conquest rates comparing maritime closure vs. no closure polities across three reclassification scenarios under both disrupted assignments.</w:t>
      </w:r>
    </w:p>
    <w:p>
      <w:r>
        <w:drawing>
          <wp:inline xmlns:a="http://schemas.openxmlformats.org/drawingml/2006/main" xmlns:pic="http://schemas.openxmlformats.org/drawingml/2006/picture">
            <wp:extent cx="4572000" cy="28338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4572000" cy="2833868"/>
                    </a:xfrm>
                    <a:prstGeom prst="rect"/>
                  </pic:spPr>
                </pic:pic>
              </a:graphicData>
            </a:graphic>
          </wp:inline>
        </w:drawing>
      </w:r>
    </w:p>
    <w:p>
      <w:r>
        <w:rPr>
          <w:b/>
          <w:sz w:val="20"/>
        </w:rPr>
        <w:t xml:space="preserve">Fig. 2  </w:t>
      </w:r>
      <w:r>
        <w:rPr>
          <w:sz w:val="20"/>
        </w:rPr>
        <w:t>Fisher's exact test p-values for the maritime closure → conquest association as polities are progressively reclassified.</w:t>
      </w:r>
    </w:p>
    <w:p>
      <w:pPr>
        <w:pStyle w:val="Heading1"/>
      </w:pPr>
      <w:r>
        <w:t>5  Sensitivity Analysis: Technical Network Exclusion</w:t>
      </w:r>
    </w:p>
    <w:p>
      <w:pPr>
        <w:pStyle w:val="Heading2"/>
      </w:pPr>
      <w:r>
        <w:t>5.1  Closure-type disaggregation and the dose–response pattern</w:t>
      </w:r>
    </w:p>
    <w:p>
      <w:r>
        <w:t>Figure 3 disaggregates conquest rates by closure type under the 7-country reclassification. A striking gradient emerges. Technically excluded polities—those with zero access to maritime exchange networks—exhibit a 100% conquest rate. Policy-based maritime bans, which restricted but did not entirely eliminate external contact, show lower rates (76.9% under disrupted → overtaken; 69.2% under disrupted →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r>
        <w:drawing>
          <wp:inline xmlns:a="http://schemas.openxmlformats.org/drawingml/2006/main" xmlns:pic="http://schemas.openxmlformats.org/drawingml/2006/picture">
            <wp:extent cx="5486400" cy="228279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282797"/>
                    </a:xfrm>
                    <a:prstGeom prst="rect"/>
                  </pic:spPr>
                </pic:pic>
              </a:graphicData>
            </a:graphic>
          </wp:inline>
        </w:drawing>
      </w:r>
    </w:p>
    <w:p>
      <w:r>
        <w:rPr>
          <w:b/>
          <w:sz w:val="20"/>
        </w:rPr>
        <w:t xml:space="preserve">Fig. 3  </w:t>
      </w:r>
      <w:r>
        <w:rPr>
          <w:sz w:val="20"/>
        </w:rPr>
        <w:t>Conquest rates by closure type under the 7-country reclassification scenario.</w:t>
      </w:r>
    </w:p>
    <w:p>
      <w:pPr>
        <w:pStyle w:val="Heading2"/>
      </w:pPr>
      <w:r>
        <w:t>5.2  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5.3  Multivariate regression stability</w:t>
      </w:r>
    </w:p>
    <w:p>
      <w:r>
        <w:t>Figure 4 presents the multivariate logistic regression results under the 7-country reclassification with disrupted → overtaken. External threat remains the strongest predictor of conquest (p &lt; 0.01 across all scenarios), followed by institutional quality and era (both p &lt; 0.01). The maritime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r>
        <w:rPr>
          <w:b/>
          <w:sz w:val="20"/>
        </w:rPr>
        <w:t xml:space="preserve">Fig. 4  </w:t>
      </w:r>
      <w:r>
        <w:rPr>
          <w:sz w:val="20"/>
        </w:rPr>
        <w:t>Forest plot of multivariate logistic regression odds ratios (7-country reclassification, disrupted → overtaken).</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Variable</w:t>
            </w:r>
          </w:p>
        </w:tc>
        <w:tc>
          <w:tcPr>
            <w:tcW w:type="dxa" w:w="1881"/>
          </w:tcPr>
          <w:p>
            <w:r>
              <w:rPr>
                <w:b/>
                <w:sz w:val="20"/>
              </w:rPr>
              <w:t>OR</w:t>
            </w:r>
          </w:p>
        </w:tc>
        <w:tc>
          <w:tcPr>
            <w:tcW w:type="dxa" w:w="1881"/>
          </w:tcPr>
          <w:p>
            <w:r>
              <w:rPr>
                <w:b/>
                <w:sz w:val="20"/>
              </w:rPr>
              <w:t>95% CI</w:t>
            </w:r>
          </w:p>
        </w:tc>
        <w:tc>
          <w:tcPr>
            <w:tcW w:type="dxa" w:w="1881"/>
          </w:tcPr>
          <w:p>
            <w:r>
              <w:rPr>
                <w:b/>
                <w:sz w:val="20"/>
              </w:rPr>
              <w:t>p-value</w:t>
            </w:r>
          </w:p>
        </w:tc>
        <w:tc>
          <w:tcPr>
            <w:tcW w:type="dxa" w:w="1881"/>
          </w:tcPr>
          <w:p>
            <w:r>
              <w:rPr>
                <w:b/>
                <w:sz w:val="20"/>
              </w:rPr>
              <w:t>Sig.</w:t>
            </w:r>
          </w:p>
        </w:tc>
      </w:tr>
      <w:tr>
        <w:tc>
          <w:tcPr>
            <w:tcW w:type="dxa" w:w="1881"/>
          </w:tcPr>
          <w:p>
            <w:r>
              <w:rPr>
                <w:sz w:val="18"/>
              </w:rPr>
              <w:t>Stock-dominant</w:t>
            </w:r>
          </w:p>
        </w:tc>
        <w:tc>
          <w:tcPr>
            <w:tcW w:type="dxa" w:w="1881"/>
          </w:tcPr>
          <w:p>
            <w:r>
              <w:rPr>
                <w:sz w:val="18"/>
              </w:rPr>
              <w:t>29.619</w:t>
            </w:r>
          </w:p>
        </w:tc>
        <w:tc>
          <w:tcPr>
            <w:tcW w:type="dxa" w:w="1881"/>
          </w:tcPr>
          <w:p>
            <w:r>
              <w:rPr>
                <w:sz w:val="18"/>
              </w:rPr>
              <w:t>[0.452, 1939.410]</w:t>
            </w:r>
          </w:p>
        </w:tc>
        <w:tc>
          <w:tcPr>
            <w:tcW w:type="dxa" w:w="1881"/>
          </w:tcPr>
          <w:p>
            <w:r>
              <w:rPr>
                <w:sz w:val="18"/>
              </w:rPr>
              <w:t>0.1123</w:t>
            </w:r>
          </w:p>
        </w:tc>
        <w:tc>
          <w:tcPr>
            <w:tcW w:type="dxa" w:w="1881"/>
          </w:tcPr>
          <w:p>
            <w:r>
              <w:rPr>
                <w:sz w:val="18"/>
              </w:rPr>
            </w:r>
          </w:p>
        </w:tc>
      </w:tr>
      <w:tr>
        <w:tc>
          <w:tcPr>
            <w:tcW w:type="dxa" w:w="1881"/>
          </w:tcPr>
          <w:p>
            <w:r>
              <w:rPr>
                <w:sz w:val="18"/>
              </w:rPr>
              <w:t>Geographic barrier</w:t>
            </w:r>
          </w:p>
        </w:tc>
        <w:tc>
          <w:tcPr>
            <w:tcW w:type="dxa" w:w="1881"/>
          </w:tcPr>
          <w:p>
            <w:r>
              <w:rPr>
                <w:sz w:val="18"/>
              </w:rPr>
              <w:t>0.003</w:t>
            </w:r>
          </w:p>
        </w:tc>
        <w:tc>
          <w:tcPr>
            <w:tcW w:type="dxa" w:w="1881"/>
          </w:tcPr>
          <w:p>
            <w:r>
              <w:rPr>
                <w:sz w:val="18"/>
              </w:rPr>
              <w:t>[0.000, 2.942]</w:t>
            </w:r>
          </w:p>
        </w:tc>
        <w:tc>
          <w:tcPr>
            <w:tcW w:type="dxa" w:w="1881"/>
          </w:tcPr>
          <w:p>
            <w:r>
              <w:rPr>
                <w:sz w:val="18"/>
              </w:rPr>
              <w:t>0.0983</w:t>
            </w:r>
          </w:p>
        </w:tc>
        <w:tc>
          <w:tcPr>
            <w:tcW w:type="dxa" w:w="1881"/>
          </w:tcPr>
          <w:p>
            <w:r>
              <w:rPr>
                <w:sz w:val="18"/>
              </w:rPr>
              <w:t>†</w:t>
            </w:r>
          </w:p>
        </w:tc>
      </w:tr>
      <w:tr>
        <w:tc>
          <w:tcPr>
            <w:tcW w:type="dxa" w:w="1881"/>
          </w:tcPr>
          <w:p>
            <w:r>
              <w:rPr>
                <w:sz w:val="18"/>
              </w:rPr>
              <w:t>External threat</w:t>
            </w:r>
          </w:p>
        </w:tc>
        <w:tc>
          <w:tcPr>
            <w:tcW w:type="dxa" w:w="1881"/>
          </w:tcPr>
          <w:p>
            <w:r>
              <w:rPr>
                <w:sz w:val="18"/>
              </w:rPr>
              <w:t>1279858.850</w:t>
            </w:r>
          </w:p>
        </w:tc>
        <w:tc>
          <w:tcPr>
            <w:tcW w:type="dxa" w:w="1881"/>
          </w:tcPr>
          <w:p>
            <w:r>
              <w:rPr>
                <w:sz w:val="18"/>
              </w:rPr>
              <w:t>[106.606, &gt;10⁶]</w:t>
            </w:r>
          </w:p>
        </w:tc>
        <w:tc>
          <w:tcPr>
            <w:tcW w:type="dxa" w:w="1881"/>
          </w:tcPr>
          <w:p>
            <w:r>
              <w:rPr>
                <w:sz w:val="18"/>
              </w:rPr>
              <w:t>0.0033</w:t>
            </w:r>
          </w:p>
        </w:tc>
        <w:tc>
          <w:tcPr>
            <w:tcW w:type="dxa" w:w="1881"/>
          </w:tcPr>
          <w:p>
            <w:r>
              <w:rPr>
                <w:sz w:val="18"/>
              </w:rPr>
              <w:t>*</w:t>
            </w:r>
          </w:p>
        </w:tc>
      </w:tr>
      <w:tr>
        <w:tc>
          <w:tcPr>
            <w:tcW w:type="dxa" w:w="1881"/>
          </w:tcPr>
          <w:p>
            <w:r>
              <w:rPr>
                <w:sz w:val="18"/>
              </w:rPr>
              <w:t>Technological position</w:t>
            </w:r>
          </w:p>
        </w:tc>
        <w:tc>
          <w:tcPr>
            <w:tcW w:type="dxa" w:w="1881"/>
          </w:tcPr>
          <w:p>
            <w:r>
              <w:rPr>
                <w:sz w:val="18"/>
              </w:rPr>
              <w:t>6.973</w:t>
            </w:r>
          </w:p>
        </w:tc>
        <w:tc>
          <w:tcPr>
            <w:tcW w:type="dxa" w:w="1881"/>
          </w:tcPr>
          <w:p>
            <w:r>
              <w:rPr>
                <w:sz w:val="18"/>
              </w:rPr>
              <w:t>[0.003, 14940.014]</w:t>
            </w:r>
          </w:p>
        </w:tc>
        <w:tc>
          <w:tcPr>
            <w:tcW w:type="dxa" w:w="1881"/>
          </w:tcPr>
          <w:p>
            <w:r>
              <w:rPr>
                <w:sz w:val="18"/>
              </w:rPr>
              <w:t>0.6197</w:t>
            </w:r>
          </w:p>
        </w:tc>
        <w:tc>
          <w:tcPr>
            <w:tcW w:type="dxa" w:w="1881"/>
          </w:tcPr>
          <w:p>
            <w:r>
              <w:rPr>
                <w:sz w:val="18"/>
              </w:rPr>
            </w:r>
          </w:p>
        </w:tc>
      </w:tr>
      <w:tr>
        <w:tc>
          <w:tcPr>
            <w:tcW w:type="dxa" w:w="1881"/>
          </w:tcPr>
          <w:p>
            <w:r>
              <w:rPr>
                <w:sz w:val="18"/>
              </w:rPr>
              <w:t>Institutional quality</w:t>
            </w:r>
          </w:p>
        </w:tc>
        <w:tc>
          <w:tcPr>
            <w:tcW w:type="dxa" w:w="1881"/>
          </w:tcPr>
          <w:p>
            <w:r>
              <w:rPr>
                <w:sz w:val="18"/>
              </w:rPr>
              <w:t>0.000</w:t>
            </w:r>
          </w:p>
        </w:tc>
        <w:tc>
          <w:tcPr>
            <w:tcW w:type="dxa" w:w="1881"/>
          </w:tcPr>
          <w:p>
            <w:r>
              <w:rPr>
                <w:sz w:val="18"/>
              </w:rPr>
              <w:t>[0.000, 0.020]</w:t>
            </w:r>
          </w:p>
        </w:tc>
        <w:tc>
          <w:tcPr>
            <w:tcW w:type="dxa" w:w="1881"/>
          </w:tcPr>
          <w:p>
            <w:r>
              <w:rPr>
                <w:sz w:val="18"/>
              </w:rPr>
              <w:t>0.0074</w:t>
            </w:r>
          </w:p>
        </w:tc>
        <w:tc>
          <w:tcPr>
            <w:tcW w:type="dxa" w:w="1881"/>
          </w:tcPr>
          <w:p>
            <w:r>
              <w:rPr>
                <w:sz w:val="18"/>
              </w:rPr>
              <w:t>*</w:t>
            </w:r>
          </w:p>
        </w:tc>
      </w:tr>
      <w:tr>
        <w:tc>
          <w:tcPr>
            <w:tcW w:type="dxa" w:w="1881"/>
          </w:tcPr>
          <w:p>
            <w:r>
              <w:rPr>
                <w:sz w:val="18"/>
              </w:rPr>
              <w:t>Era (time)</w:t>
            </w:r>
          </w:p>
        </w:tc>
        <w:tc>
          <w:tcPr>
            <w:tcW w:type="dxa" w:w="1881"/>
          </w:tcPr>
          <w:p>
            <w:r>
              <w:rPr>
                <w:sz w:val="18"/>
              </w:rPr>
              <w:t>0.053</w:t>
            </w:r>
          </w:p>
        </w:tc>
        <w:tc>
          <w:tcPr>
            <w:tcW w:type="dxa" w:w="1881"/>
          </w:tcPr>
          <w:p>
            <w:r>
              <w:rPr>
                <w:sz w:val="18"/>
              </w:rPr>
              <w:t>[0.006, 0.486]</w:t>
            </w:r>
          </w:p>
        </w:tc>
        <w:tc>
          <w:tcPr>
            <w:tcW w:type="dxa" w:w="1881"/>
          </w:tcPr>
          <w:p>
            <w:r>
              <w:rPr>
                <w:sz w:val="18"/>
              </w:rPr>
              <w:t>0.0093</w:t>
            </w:r>
          </w:p>
        </w:tc>
        <w:tc>
          <w:tcPr>
            <w:tcW w:type="dxa" w:w="1881"/>
          </w:tcPr>
          <w:p>
            <w:r>
              <w:rPr>
                <w:sz w:val="18"/>
              </w:rPr>
              <w:t>*</w:t>
            </w:r>
          </w:p>
        </w:tc>
      </w:tr>
      <w:tr>
        <w:tc>
          <w:tcPr>
            <w:tcW w:type="dxa" w:w="1881"/>
          </w:tcPr>
          <w:p>
            <w:r>
              <w:rPr>
                <w:sz w:val="18"/>
              </w:rPr>
              <w:t>External patron</w:t>
            </w:r>
          </w:p>
        </w:tc>
        <w:tc>
          <w:tcPr>
            <w:tcW w:type="dxa" w:w="1881"/>
          </w:tcPr>
          <w:p>
            <w:r>
              <w:rPr>
                <w:sz w:val="18"/>
              </w:rPr>
              <w:t>0.309</w:t>
            </w:r>
          </w:p>
        </w:tc>
        <w:tc>
          <w:tcPr>
            <w:tcW w:type="dxa" w:w="1881"/>
          </w:tcPr>
          <w:p>
            <w:r>
              <w:rPr>
                <w:sz w:val="18"/>
              </w:rPr>
              <w:t>[0.017, 5.520]</w:t>
            </w:r>
          </w:p>
        </w:tc>
        <w:tc>
          <w:tcPr>
            <w:tcW w:type="dxa" w:w="1881"/>
          </w:tcPr>
          <w:p>
            <w:r>
              <w:rPr>
                <w:sz w:val="18"/>
              </w:rPr>
              <w:t>0.4247</w:t>
            </w:r>
          </w:p>
        </w:tc>
        <w:tc>
          <w:tcPr>
            <w:tcW w:type="dxa" w:w="1881"/>
          </w:tcPr>
          <w:p>
            <w:r>
              <w:rPr>
                <w:sz w:val="18"/>
              </w:rPr>
            </w:r>
          </w:p>
        </w:tc>
      </w:tr>
      <w:tr>
        <w:tc>
          <w:tcPr>
            <w:tcW w:type="dxa" w:w="1881"/>
          </w:tcPr>
          <w:p>
            <w:r>
              <w:rPr>
                <w:sz w:val="18"/>
              </w:rPr>
              <w:t>Maritime closure dummy</w:t>
            </w:r>
          </w:p>
        </w:tc>
        <w:tc>
          <w:tcPr>
            <w:tcW w:type="dxa" w:w="1881"/>
          </w:tcPr>
          <w:p>
            <w:r>
              <w:rPr>
                <w:sz w:val="18"/>
              </w:rPr>
              <w:t>0.705</w:t>
            </w:r>
          </w:p>
        </w:tc>
        <w:tc>
          <w:tcPr>
            <w:tcW w:type="dxa" w:w="1881"/>
          </w:tcPr>
          <w:p>
            <w:r>
              <w:rPr>
                <w:sz w:val="18"/>
              </w:rPr>
              <w:t>[0.013, 37.496]</w:t>
            </w:r>
          </w:p>
        </w:tc>
        <w:tc>
          <w:tcPr>
            <w:tcW w:type="dxa" w:w="1881"/>
          </w:tcPr>
          <w:p>
            <w:r>
              <w:rPr>
                <w:sz w:val="18"/>
              </w:rPr>
              <w:t>0.8630</w:t>
            </w:r>
          </w:p>
        </w:tc>
        <w:tc>
          <w:tcPr>
            <w:tcW w:type="dxa" w:w="1881"/>
          </w:tcPr>
          <w:p>
            <w:r>
              <w:rPr>
                <w:sz w:val="18"/>
              </w:rPr>
            </w:r>
          </w:p>
        </w:tc>
      </w:tr>
    </w:tbl>
    <w:p>
      <w:r>
        <w:rPr>
          <w:b/>
          <w:sz w:val="20"/>
        </w:rPr>
        <w:t xml:space="preserve">Table 3  </w:t>
      </w:r>
      <w:r>
        <w:rPr>
          <w:sz w:val="20"/>
        </w:rPr>
        <w:t>Multivariate logistic regression results (7-country reclassification, disrupted → overtaken). * p &lt; 0.05, † p &lt; 0.10.</w:t>
      </w:r>
    </w:p>
    <w:p>
      <w:pPr>
        <w:pStyle w:val="Heading1"/>
      </w:pPr>
      <w:r>
        <w:t>6  Discussion</w:t>
      </w:r>
    </w:p>
    <w:p>
      <w:pPr>
        <w:pStyle w:val="Heading2"/>
      </w:pPr>
      <w:r>
        <w:t>6.1  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Figure 3 reinforces this interpretation. Technical exclusion (zero technology transfer) produces a 100% conquest rate. Policy-based maritime bans, which restrict but do not eliminate technology flow—Tokugawa Japan, for instance, maintained access to Western science through rangaku at Dejima—show conquest rates below 80%. Bloc closures, which preserve substantial within-bloc technology sharing, show the lowest rates among closure types. The ordering of conquest risk mirrors the ordering of technology flow disruption.</w:t>
      </w:r>
    </w:p>
    <w:p>
      <w:r>
        <w:t>The multivariate results complete the picture. External threat and institutional quality are the strongest predictors of conquest, and the maritime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The mediating variables (external threat, institutional quality) absorb the explanatory power of the closure variable because they lie downstream in the causal pathway.</w:t>
      </w:r>
    </w:p>
    <w:p>
      <w:pPr>
        <w:pStyle w:val="Heading2"/>
      </w:pPr>
      <w:r>
        <w:t>6.2  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 When contact eventually occurred—typically through military expansion by the more connected civilization—the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pPr>
        <w:pStyle w:val="Heading2"/>
      </w:pPr>
      <w:r>
        <w:t>6.3  Beyond maritime isolation: technological access exclusion in the modern era</w:t>
      </w:r>
    </w:p>
    <w:p>
      <w:r>
        <w:t>If the mechanism we identify is technology flow disruption rather than maritime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technical maritime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maritime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6.4  Robustness of the stock–flow framework</w:t>
      </w:r>
    </w:p>
    <w:p>
      <w:r>
        <w:t>The invariance of the stock–flow OR (1.774) across all reclassification scenarios confirms that the core finding of the stock–flow framework—that stock-oriented polities face moderately higher conquest risk—is independent of how maritime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pPr>
        <w:pStyle w:val="Heading2"/>
      </w:pPr>
      <w:r>
        <w:t>6.5  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Fifth, the forward-looking extension to modern technological exclusion is necessarily speculative, as the mechanisms operating in a nuclear-armed, institutionally dense modern world may differ qualitatively from those in premodern eras.</w:t>
      </w:r>
    </w:p>
    <w:p>
      <w:pPr>
        <w:pStyle w:val="Heading1"/>
      </w:pPr>
      <w:r>
        <w:t>7  Conclusion</w:t>
      </w:r>
    </w:p>
    <w:p>
      <w:r>
        <w:t>This paper has shown that reclassifying seven technically excluded polities—those severed from the maritime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maritime trade.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w:t>
      </w:r>
    </w:p>
    <w:p>
      <w:pPr>
        <w:pStyle w:val="Heading1"/>
      </w:pPr>
      <w:r>
        <w:t>References</w:t>
      </w:r>
    </w:p>
    <w:p>
      <w:pPr>
        <w:ind w:hanging="567" w:left="567"/>
      </w:pPr>
      <w:r>
        <w:t>Acemoglu D, Johnson S, Robinson JA (2002) Reversal of fortune: geography and institutions in the making of the modern world income distribution. Q J Econ 117:1231–1294. https://doi.org/10.1162/003355302320935025</w:t>
      </w:r>
    </w:p>
    <w:p>
      <w:pPr>
        <w:ind w:hanging="567" w:left="567"/>
      </w:pPr>
      <w:r>
        <w:t>Acemoglu D, Johnson S, Robinson JA (2005) Institutions as a fundamental cause of long-run growth. In: Aghion P, Durlauf SN (eds) Handbook of economic growth, vol 1A. Elsevier, Amsterdam, pp 385–472</w:t>
      </w:r>
    </w:p>
    <w:p>
      <w:pPr>
        <w:ind w:hanging="567" w:left="567"/>
      </w:pPr>
      <w:r>
        <w:t>Acemoglu D, Restrepo P (2020) Robots and jobs: evidence from US labor markets. J Polit Econ 128:2188–2244. https://doi.org/10.1086/705716</w:t>
      </w:r>
    </w:p>
    <w:p>
      <w:pPr>
        <w:ind w:hanging="567" w:left="567"/>
      </w:pPr>
      <w:r>
        <w:t>Arrighi G (1994) The long twentieth century: money, power, and the origins of our times. Verso, London</w:t>
      </w:r>
    </w:p>
    <w:p>
      <w:pPr>
        <w:ind w:hanging="567" w:left="567"/>
      </w:pPr>
      <w:r>
        <w:t>Broadberry SN, Guan H (2026) Regional variation of GDP per head within China, 1080–1850. Explor Econ Hist 95:101567. https://doi.org/10.1016/j.eeh.2025.101567</w:t>
      </w:r>
    </w:p>
    <w:p>
      <w:pPr>
        <w:ind w:hanging="567" w:left="567"/>
      </w:pPr>
      <w:r>
        <w:t>Comin D, Easterly W, Gong E (2010) Was the wealth of nations determined in 1000 BC? Am Econ J Macroecon 2:65–97. https://doi.org/10.1257/mac.2.3.65</w:t>
      </w:r>
    </w:p>
    <w:p>
      <w:pPr>
        <w:ind w:hanging="567" w:left="567"/>
      </w:pPr>
      <w:r>
        <w:t>Comin D, Mestieri M (2018) If technology has arrived everywhere, why has income diverged? Am Econ J Macroecon 10:137–178. https://doi.org/10.1257/mac.20150175</w:t>
      </w:r>
    </w:p>
    <w:p>
      <w:pPr>
        <w:ind w:hanging="567" w:left="567"/>
      </w:pPr>
      <w:r>
        <w:t>De Vries J (2010) The limits of globalization in the early modern world. Econ Hist Rev 63:710–733. https://doi.org/10.1111/j.1468-0289.2009.00497.x</w:t>
      </w:r>
    </w:p>
    <w:p>
      <w:pPr>
        <w:ind w:hanging="567" w:left="567"/>
      </w:pPr>
      <w:r>
        <w:t>Diamond J (1997) Guns, germs, and steel: the fates of human societies. W.W. Norton, New York</w:t>
      </w:r>
    </w:p>
    <w:p>
      <w:pPr>
        <w:ind w:hanging="567" w:left="567"/>
      </w:pPr>
      <w:r>
        <w:t>Diamond J, Bellwood P (2003) Farmers and their languages: the first expansions. Science 300:597–603. https://doi.org/10.1126/science.1078208</w:t>
      </w:r>
    </w:p>
    <w:p>
      <w:pPr>
        <w:ind w:hanging="567" w:left="567"/>
      </w:pPr>
      <w:r>
        <w:t>Findlay R, O'Rourke KH (2007) Power and plenty: trade, war, and the world economy in the second millennium. Princeton University Press, Princeton</w:t>
      </w:r>
    </w:p>
    <w:p>
      <w:pPr>
        <w:ind w:hanging="567" w:left="567"/>
      </w:pPr>
      <w:r>
        <w:t>Kennedy P (1987) The rise and fall of the great powers: economic change and military conflict from 1500 to 2000. Random House, New York</w:t>
      </w:r>
    </w:p>
    <w:p>
      <w:pPr>
        <w:ind w:hanging="567" w:left="567"/>
      </w:pPr>
      <w:r>
        <w:t>Maddison A (2007) Contours of the world economy 1–2030 AD: essays in macro-economic history. Oxford University Press, Oxford</w:t>
      </w:r>
    </w:p>
    <w:p>
      <w:pPr>
        <w:ind w:hanging="567" w:left="567"/>
      </w:pPr>
      <w:r>
        <w:t>Mokyr J (2002) The gifts of Athena: historical origins of the knowledge economy. Princeton University Press, Princeton</w:t>
      </w:r>
    </w:p>
    <w:p>
      <w:pPr>
        <w:ind w:hanging="567" w:left="567"/>
      </w:pPr>
      <w:r>
        <w:t>North DC, Wallis JJ, Weingast BR (2009) Violence and social orders: a conceptual framework for interpreting recorded human history. Cambridge University Press, Cambridge</w:t>
      </w:r>
    </w:p>
    <w:p>
      <w:pPr>
        <w:ind w:hanging="567" w:left="567"/>
      </w:pPr>
      <w:r>
        <w:t>Pomeranz K (2000) The great divergence: China, Europe, and the making of the modern world economy. Princeton University Press, Princeton</w:t>
      </w:r>
    </w:p>
    <w:p>
      <w:pPr>
        <w:ind w:hanging="567" w:left="567"/>
      </w:pPr>
      <w:r>
        <w:t>Turchin P (2009) A theory for formation of large empires. J Glob Hist 4:191–217. https://doi.org/10.1017/S1740022809003192</w:t>
      </w:r>
    </w:p>
    <w:p>
      <w:pPr>
        <w:pStyle w:val="Heading1"/>
      </w:pPr>
      <w:r>
        <w:t>Statements and Declarations</w:t>
      </w:r>
    </w:p>
    <w:p>
      <w:pPr>
        <w:pStyle w:val="Heading2"/>
      </w:pPr>
      <w:r>
        <w:t>Funding</w:t>
      </w:r>
    </w:p>
    <w:p>
      <w:r>
        <w:t>[To be completed by author]</w:t>
      </w:r>
    </w:p>
    <w:p>
      <w:pPr>
        <w:pStyle w:val="Heading2"/>
      </w:pPr>
      <w:r>
        <w:t>Competing Interests</w:t>
      </w:r>
    </w:p>
    <w:p>
      <w:r>
        <w:t>The author declares no competing interests.</w:t>
      </w:r>
    </w:p>
    <w:p>
      <w:pPr>
        <w:pStyle w:val="Heading2"/>
      </w:pPr>
      <w:r>
        <w:t>Data Availability</w:t>
      </w:r>
    </w:p>
    <w:p>
      <w:r>
        <w:t>The complete dataset and analysis code are available at [repository URL]. Supplementary Table S1 provides the full dataset of 96 polities with all coded variables.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