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p>
      <w:pPr>
        <w:spacing w:after="80"/>
      </w:pPr>
      <w:r>
        <w:t>17. European Commission, Directorate-General for Mobility and Transport. n.d. Community database on road accidents (CARE). https://road-safety.transport.ec.europa.eu/european-road-safety-observatory/methodology-and-research/care-database_en [accessed 22 August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