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 Black-and-white version: line styles and marker shapes distinguish categories.</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 Black-and-white version: line styles and marker shapes distinguish categories.</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 Black-and-white version: line styles and marker shapes distinguish categories.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 Black-and-white version: categories are distinguished by the y-axis labels.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 Black-and-white version: the 12-17 h point is filled and the others are open to highlight the peak band.</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 Black-and-white version: line styles and marker shapes distinguish categories.</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 Black-and-white version: the right-hand (estimate) bar is hatched to distinguish it from the left-hand (official) bar.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 Black-and-white version: line styles and marker shapes distinguish categories.</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 Black-and-white version: line styles and marker shapes distinguish categories.</w:t>
      </w:r>
    </w:p>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 Black-and-white version: US (square) and Japan (circle) estimates use different marker shapes.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Eighth,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vertAlign w:val="superscript"/>
        </w:rPr>
        <w:t>17</w:t>
      </w:r>
      <w:r>
        <w:t xml:space="preserve">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US Census Bureau. Population Estimates Program. Annual state population estimates. https://www.census.gov/programs-surveys/popest.html</w:t>
      </w:r>
    </w:p>
    <w:p>
      <w:pPr>
        <w:spacing w:after="80"/>
      </w:pPr>
      <w:r>
        <w:t>13. Federal Highway Administration. Highway Statistics VM-2: Annual state vehicle-miles travelled. https://www.fhwa.dot.gov/policyinformation/statistics.cfm</w:t>
      </w:r>
    </w:p>
    <w:p>
      <w:pPr>
        <w:spacing w:after="80"/>
      </w:pPr>
      <w:r>
        <w:t>14. Centers for Disease Control and Prevention. CDC WONDER Underlying Cause of Death database. https://wonder.cdc.gov/</w:t>
      </w:r>
    </w:p>
    <w:p>
      <w:pPr>
        <w:spacing w:after="80"/>
      </w:pPr>
      <w:r>
        <w:t>15. Daanen HAM, van de Vliert E, Huang X. Driving performance in cold, warm, and thermoneutral environments. Appl Ergon 2003;34:597-602.</w:t>
      </w:r>
    </w:p>
    <w:p>
      <w:pPr>
        <w:spacing w:after="80"/>
      </w:pPr>
      <w:r>
        <w:t>16. IPCC. Climate Change 2021: The Physical Science Basis. Contribution of Working Group I to the Sixth Assessment Report of the Intergovernmental Panel on Climate Change. Cambridge: Cambridge University Press; 2021.</w:t>
      </w:r>
    </w:p>
    <w:p>
      <w:pPr>
        <w:spacing w:after="80"/>
      </w:pPr>
      <w:r>
        <w:t>17. European Commission, Directorate-General for Mobility and Transport. Community database on road accidents (CARE). https://road-safety.transport.ec.europa.eu/european-road-safety-observatory/methodology-and-research/care-database_en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