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Specialist capacity impact of false-positive follow-up visits</w:t>
      </w:r>
    </w:p>
    <w:p>
      <w:r>
        <w:t>Baseline capacity is derived from NDB Open Data outpatient patient counts (173,590,845 first/revisit patients, April 2024–March 2025) and JMSB specialist counts. Cancer-relevant specialists = 79,117; baseline patients per specialist per year = 564.5; assumed share available for new cancer workups = 20%.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Cancer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Specialty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Baseline cases</w:t>
              <w:br/>
              <w:t>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False-positive specialist</w:t>
              <w:br/>
              <w:t>visits per specialist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Cases per specialist</w:t>
              <w:br/>
              <w:t>with FP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Increase (%)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Gastric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65.51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77.4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552.7%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Colorectal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Gastrointestinal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63.4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238.3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275.7%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Lung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Respiratory Medicine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43.9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289.2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559.6%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Breast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Breast Surgery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799.33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1202.8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198.1%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Prostate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221.40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306.9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258.9%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Hepatology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194.25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1918.5%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Pancreatic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Gastroenterology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78.65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2095.0%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Ovarian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Obstetrics and Gynaecology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84.85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3885.6%</w:t>
            </w:r>
          </w:p>
        </w:tc>
      </w:tr>
    </w:tbl>
    <w:p>
      <w:r>
        <w:t>Note: False-positive (FP) specialist visits are the additional specialist visits generated only by false-positive individuals in a 100,000-person DTC MCED screening wave at the stated follow-up rate (initial specialist visit plus FP-specific follow-up or reassurance visits). The 'baseline cases per specialist' uses the MHLW Patient Survey 2023 total patient stock (総患者数) for each cancer.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