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pPr>
      <w:r>
        <w:rPr>
          <w:rFonts w:ascii="Times New Roman" w:hAnsi="Times New Roman" w:eastAsia="MS Mincho"/>
          <w:b/>
          <w:i w:val="0"/>
          <w:sz w:val="32"/>
        </w:rPr>
        <w:t>資本会計における忘れられたテンポ効果：投資・産出間のタイム・トゥ・ビルド、無形資本、およびフロー型・ストック型国富指標の統合</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ランニングヘッド: 資本会計におけるテンポ効果</w:t>
      </w:r>
    </w:p>
    <w:p>
      <w:pPr>
        <w:spacing w:after="120" w:line="480" w:lineRule="auto"/>
        <w:ind w:firstLine="480"/>
      </w:pPr>
      <w:r>
        <w:rPr>
          <w:rFonts w:ascii="Times New Roman" w:hAnsi="Times New Roman" w:eastAsia="MS Mincho"/>
          <w:b w:val="0"/>
          <w:i w:val="0"/>
          <w:sz w:val="24"/>
        </w:rPr>
        <w:t>キーワード: テンポ効果、無形資本、恒久棚卸法、タイム・トゥ・ビルド、フロー=ストック整合性、Beyond-GDP。</w:t>
      </w:r>
    </w:p>
    <w:p>
      <w:pPr>
        <w:spacing w:after="120" w:line="480" w:lineRule="auto"/>
        <w:ind w:firstLine="480"/>
      </w:pPr>
      <w:r>
        <w:rPr>
          <w:rFonts w:ascii="Times New Roman" w:hAnsi="Times New Roman" w:eastAsia="MS Mincho"/>
          <w:b w:val="0"/>
          <w:i w:val="0"/>
          <w:sz w:val="24"/>
        </w:rPr>
        <w:t>JEL コード: E01（国民所得・生産勘定の測定とデータ）、E22（投資・資本・無形資本）、O47（経済成長・集計生産性の測定）。</w:t>
      </w:r>
    </w:p>
    <w:p>
      <w:pPr>
        <w:spacing w:after="120" w:line="480" w:lineRule="auto"/>
        <w:ind w:firstLine="480"/>
      </w:pPr>
      <w:r>
        <w:rPr>
          <w:rFonts w:ascii="Times New Roman" w:hAnsi="Times New Roman" w:eastAsia="MS Mincho"/>
          <w:b w:val="0"/>
          <w:i w:val="0"/>
          <w:sz w:val="24"/>
        </w:rPr>
        <w:t>CRediT 著者貢献: O.T.: 構想、方法論、ソフトウェア、形式的解析、原稿執筆（初稿）、執筆（査読・編集）。</w:t>
      </w:r>
    </w:p>
    <w:p>
      <w:pPr>
        <w:spacing w:after="120" w:line="480" w:lineRule="auto"/>
        <w:ind w:firstLine="480"/>
      </w:pPr>
      <w:r>
        <w:rPr>
          <w:rFonts w:ascii="Times New Roman" w:hAnsi="Times New Roman" w:eastAsia="MS Mincho"/>
          <w:b w:val="0"/>
          <w:i w:val="0"/>
          <w:sz w:val="24"/>
        </w:rPr>
        <w:t>生成 AI の科学的執筆への使用についての宣言: 著者は、文面のフォーマット整形、文体に合う語彙の選択、およびコード作成の補助に生成 AI を用いた。</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および世界銀行から公開されている。解析スクリプト、中間結果、原稿ソースは付随する公開リポジトリにすべて保管されている。</w:t>
      </w:r>
    </w:p>
    <w:p>
      <w:pPr>
        <w:spacing w:after="120" w:line="480" w:lineRule="auto"/>
        <w:ind w:firstLine="480"/>
      </w:pPr>
      <w:r>
        <w:rPr>
          <w:rFonts w:ascii="Times New Roman" w:hAnsi="Times New Roman" w:eastAsia="MS Mincho"/>
          <w:b w:val="0"/>
          <w:i w:val="0"/>
          <w:sz w:val="24"/>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480" w:lineRule="auto"/>
        <w:ind w:firstLine="480"/>
      </w:pPr>
      <w:r>
        <w:rPr>
          <w:rFonts w:ascii="Times New Roman" w:hAnsi="Times New Roman" w:eastAsia="MS Mincho"/>
          <w:b w:val="0"/>
          <w:i w:val="0"/>
          <w:sz w:val="24"/>
        </w:rPr>
        <w:t>キーワード: テンポ効果、無形資本、恒久棚卸法、国富会計、Beyond-GDP。</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pPr>
      <w:r>
        <w:rPr>
          <w:rFonts w:ascii="Times New Roman" w:hAnsi="Times New Roman" w:eastAsia="MS Mincho"/>
          <w:b/>
          <w:i w:val="0"/>
          <w:sz w:val="28"/>
        </w:rPr>
        <w:t>1. はじめに</w:t>
      </w:r>
    </w:p>
    <w:p>
      <w:pPr>
        <w:spacing w:after="120" w:line="480" w:lineRule="auto"/>
        <w:ind w:firstLine="480"/>
      </w:pPr>
      <w:r>
        <w:rPr>
          <w:rFonts w:ascii="Times New Roman" w:hAnsi="Times New Roman" w:eastAsia="MS Mincho"/>
          <w:b w:val="0"/>
          <w:i w:val="0"/>
          <w:sz w:val="24"/>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480" w:lineRule="auto"/>
        <w:ind w:firstLine="480"/>
      </w:pPr>
      <w:r>
        <w:rPr>
          <w:rFonts w:ascii="Times New Roman" w:hAnsi="Times New Roman" w:eastAsia="MS Mincho"/>
          <w:b w:val="0"/>
          <w:i w:val="0"/>
          <w:sz w:val="24"/>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480" w:lineRule="auto"/>
        <w:ind w:firstLine="480"/>
      </w:pPr>
      <w:r>
        <w:rPr>
          <w:rFonts w:ascii="Times New Roman" w:hAnsi="Times New Roman" w:eastAsia="MS Mincho"/>
          <w:b w:val="0"/>
          <w:i w:val="0"/>
          <w:sz w:val="24"/>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480" w:lineRule="auto"/>
        <w:ind w:firstLine="480"/>
      </w:pPr>
      <w:r>
        <w:rPr>
          <w:rFonts w:ascii="Times New Roman" w:hAnsi="Times New Roman" w:eastAsia="MS Mincho"/>
          <w:b w:val="0"/>
          <w:i w:val="0"/>
          <w:sz w:val="24"/>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360" w:after="120" w:line="480" w:lineRule="auto"/>
      </w:pPr>
      <w:r>
        <w:rPr>
          <w:rFonts w:ascii="Times New Roman" w:hAnsi="Times New Roman" w:eastAsia="MS Mincho"/>
          <w:b/>
          <w:i w:val="0"/>
          <w:sz w:val="28"/>
        </w:rPr>
        <w:t>2.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pPr>
      <w:r>
        <w:rPr>
          <w:rFonts w:ascii="Times New Roman" w:hAnsi="Times New Roman" w:eastAsia="MS Mincho"/>
          <w:b/>
          <w:i w:val="0"/>
          <w:sz w:val="28"/>
        </w:rPr>
        <w:t>3. 理論</w:t>
      </w:r>
    </w:p>
    <w:p>
      <w:pPr>
        <w:spacing w:before="360" w:after="120" w:line="480" w:lineRule="auto"/>
      </w:pPr>
      <w:r>
        <w:rPr>
          <w:rFonts w:ascii="Times New Roman" w:hAnsi="Times New Roman" w:eastAsia="MS Mincho"/>
          <w:b/>
          <w:i w:val="0"/>
          <w:sz w:val="24"/>
        </w:rPr>
        <w:t>3.1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3.2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3.3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3.4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3.5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pPr>
      <w:r>
        <w:rPr>
          <w:rFonts w:ascii="Times New Roman" w:hAnsi="Times New Roman" w:eastAsia="MS Mincho"/>
          <w:b/>
          <w:i w:val="0"/>
          <w:sz w:val="28"/>
        </w:rPr>
        <w:t>4. データと手法</w:t>
      </w:r>
    </w:p>
    <w:p>
      <w:pPr>
        <w:spacing w:before="360" w:after="120" w:line="480" w:lineRule="auto"/>
      </w:pPr>
      <w:r>
        <w:rPr>
          <w:rFonts w:ascii="Times New Roman" w:hAnsi="Times New Roman" w:eastAsia="MS Mincho"/>
          <w:b/>
          <w:i w:val="0"/>
          <w:sz w:val="24"/>
        </w:rPr>
        <w:t>4.1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4.2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4.3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4.4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4.5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pPr>
      <w:r>
        <w:rPr>
          <w:rFonts w:ascii="Times New Roman" w:hAnsi="Times New Roman" w:eastAsia="MS Mincho"/>
          <w:b/>
          <w:i w:val="0"/>
          <w:sz w:val="28"/>
        </w:rPr>
        <w:t>5. 結果</w:t>
      </w:r>
    </w:p>
    <w:p>
      <w:pPr>
        <w:spacing w:before="360" w:after="120" w:line="48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ルクセンブルク、スロバキア、英国、スウェーデン）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が動く幅は最も感度の高い国（ルクセンブルク：3.75 → 3.00 年）でも最大 0.75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8"/>
        </w:rPr>
        <w:t>6. 考察</w:t>
      </w:r>
    </w:p>
    <w:p>
      <w:pPr>
        <w:spacing w:before="360" w:after="120" w:line="480" w:lineRule="auto"/>
      </w:pPr>
      <w:r>
        <w:rPr>
          <w:rFonts w:ascii="Times New Roman" w:hAnsi="Times New Roman" w:eastAsia="MS Mincho"/>
          <w:b/>
          <w:i w:val="0"/>
          <w:sz w:val="24"/>
        </w:rPr>
        <w:t>6.1 Solow 残差の再解釈</w:t>
      </w:r>
    </w:p>
    <w:p>
      <w:pPr>
        <w:spacing w:after="120" w:line="480" w:lineRule="auto"/>
        <w:ind w:firstLine="480"/>
      </w:pPr>
      <w:r>
        <w:rPr>
          <w:rFonts w:ascii="Times New Roman" w:hAnsi="Times New Roman" w:eastAsia="MS Mincho"/>
          <w:b w:val="0"/>
          <w:i w:val="0"/>
          <w:sz w:val="24"/>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6.2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6.3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6.4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6.5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pPr>
      <w:r>
        <w:rPr>
          <w:rFonts w:ascii="Times New Roman" w:hAnsi="Times New Roman" w:eastAsia="MS Mincho"/>
          <w:b/>
          <w:i w:val="0"/>
          <w:sz w:val="28"/>
        </w:rPr>
        <w:t>7.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360" w:after="120" w:line="480" w:lineRule="auto"/>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Sumru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Kenneth J., Partha Dasgupta, Lawrence H. Goulder, Kevin J. Mumford, and Kirsten Oleson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John and Griffith Feeney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John and Tomáš Sobotka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William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Lawrence J. and Richard M. Todd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Carol, Charles Hulten, and Daniel Sichel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Carol, Charles Hulten, and Daniel Sichel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Carol, Jonathan Haskel, Cecilia Jona-Lasinio, and Massimiliano Iommi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Carol, Jonathan Haskel, Massimiliano Iommi, and Cecilia Jona-Lasinio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Partha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Gaétan and Adam B. Jaffe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Rochelle 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Robert C., Robert Inklaar, and Marcel P. Timmer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Joshua R., Wolfgang Lutz, and Sergei Scherbov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Zvi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Masashige and Yongchao Zhao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Jonathan and Stian Westlake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Jonathan and Stian Westlake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Charles 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Robert and Marcel P. Timmer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Dale W. and Zvi Griliches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Dale 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Dale W., Mun S. Ho, and Kevin J. Stiroh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Joseph 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Petya (2000) The facts about time-to-build. IMF Working Paper 00/138.</w:t>
      </w:r>
    </w:p>
    <w:p>
      <w:pPr>
        <w:spacing w:after="120" w:line="480" w:lineRule="auto"/>
        <w:ind w:firstLine="480"/>
      </w:pPr>
      <w:r>
        <w:rPr>
          <w:rFonts w:ascii="Times New Roman" w:hAnsi="Times New Roman" w:eastAsia="MS Mincho"/>
          <w:b w:val="0"/>
          <w:i w:val="0"/>
          <w:sz w:val="24"/>
        </w:rPr>
        <w:t>Kohler, Hans-Peter, Francesco C. Billari, and José Antonio Ortega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Finn E. and Edward C. Prescott (1982) Time to build and aggregate fluctuations. Econometrica 50, 1345–1370.</w:t>
      </w:r>
    </w:p>
    <w:p>
      <w:pPr>
        <w:spacing w:after="120" w:line="480" w:lineRule="auto"/>
        <w:ind w:firstLine="480"/>
      </w:pPr>
      <w:r>
        <w:rPr>
          <w:rFonts w:ascii="Times New Roman" w:hAnsi="Times New Roman" w:eastAsia="MS Mincho"/>
          <w:b w:val="0"/>
          <w:i w:val="0"/>
          <w:sz w:val="24"/>
        </w:rPr>
        <w:t>Lange, Glenn-Marie, Quentin Wodon, and Kevin Carey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Shunsuke and Pushpam Kumar (eds.) (2018) Inclusive Wealth Report 2018. London: Routledge.</w:t>
      </w:r>
    </w:p>
    <w:p>
      <w:pPr>
        <w:spacing w:after="120" w:line="480" w:lineRule="auto"/>
        <w:ind w:firstLine="480"/>
      </w:pPr>
      <w:r>
        <w:rPr>
          <w:rFonts w:ascii="Times New Roman" w:hAnsi="Times New Roman" w:eastAsia="MS Mincho"/>
          <w:b w:val="0"/>
          <w:i w:val="0"/>
          <w:sz w:val="24"/>
        </w:rPr>
        <w:t>Mayer, Thomas (1960) Plant and equipment lead times. Journal of Business 33, 127–132.</w:t>
      </w:r>
    </w:p>
    <w:p>
      <w:pPr>
        <w:spacing w:after="120" w:line="480" w:lineRule="auto"/>
        <w:ind w:firstLine="480"/>
      </w:pPr>
      <w:r>
        <w:rPr>
          <w:rFonts w:ascii="Times New Roman" w:hAnsi="Times New Roman" w:eastAsia="MS Mincho"/>
          <w:b w:val="0"/>
          <w:i w:val="0"/>
          <w:sz w:val="24"/>
        </w:rPr>
        <w:t>Nishimura, Kiyohiko G. and Yumi Saita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Felix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Joshua A., Haidong Wang, Michael K. Freeman, Theo Vos, Abraham D. Flaxman, Alan D. Lopez, and Christopher J. L. Murray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Frank and Rafael Wouters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Robert 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Joseph E., Amartya Sen, and Jean-Paul Fitoussi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