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Geographic distance decay in population-level Neanderthal and Denisovan segment profiles</w:t>
      </w:r>
    </w:p>
    <w:p>
      <w:pPr>
        <w:jc w:val="center"/>
      </w:pPr>
      <w:r>
        <w:rPr>
          <w:b/>
        </w:rPr>
        <w:t>Research Article</w:t>
      </w:r>
    </w:p>
    <w:p>
      <w:pPr>
        <w:jc w:val="center"/>
      </w:pPr>
      <w:r>
        <w:rPr>
          <w:b/>
        </w:rPr>
        <w:t>Onishi Tatsuki</w:t>
      </w:r>
    </w:p>
    <w:p>
      <w:pPr>
        <w:jc w:val="center"/>
      </w:pPr>
      <w:r>
        <w:t>Data Science and AI Innovation Research Promotion Center</w:t>
      </w:r>
    </w:p>
    <w:p>
      <w:pPr>
        <w:jc w:val="center"/>
      </w:pPr>
      <w:r>
        <w:t>Onishi Tatsuki, Data Science and AI Innovation Research Promotion Center; Email: bougtoir@gmail.com</w:t>
      </w:r>
    </w:p>
    <w:p>
      <w:pPr>
        <w:jc w:val="center"/>
      </w:pPr>
      <w:r>
        <w:t>Running title: Geography of archaic segment profiles</w:t>
      </w:r>
    </w:p>
    <w:p>
      <w:pPr>
        <w:pStyle w:val="Heading1"/>
      </w:pPr>
      <w:r>
        <w:t>Abstract</w:t>
      </w:r>
    </w:p>
    <w:p>
      <w:pPr>
        <w:spacing w:line="360" w:lineRule="auto"/>
      </w:pPr>
      <w:r>
        <w:t>Objectives: Archaic-like segments around the ABO blood-group locus have been proposed as clues to blood-group history and human dispersal, but their interpretation lacks a genome-wide geographic baseline. We tested whether population-level genomic profiles of inferred Neanderthal- and Denisovan-like segments become less similar with geographic distance. Materials and Methods: High-confidence hmmix calls from 3,134 individuals in 66 populations were summarized in 500-kb windows. Each individual-haplotype-window contributed at most one presence, constraining population frequencies to 0-1. Pearson similarity was calculated for 2,145 population pairs. Distance associations were evaluated with population-label quadratic assignment permutations, population-deletion analyses, and sensitivities to window size, similarity metric, sample-size threshold, dataset, zero-distance pairs, and regional omission. Results: Similarity declined with distance for Neanderthal (raw r=-0.497) and Denisovan (raw r=-0.462) profiles. Expanded descriptive models that also included designated recent-admixture involvement, same-continent status, and same-dataset status had partial distance correlations of -0.369 and -0.326; population-label permutation P values for distance were 0.0001 and 0.0002. No positive-residual non-admixed pair met both z&gt;2 and false-discovery-rate q&lt;0.10. Conclusions: Archaic-segment profile similarity contains a broad geographic distance-decay signal, but the analysis does not identify exceptional population connections or demonstrate specific migration routes. A secondary ABO-window analysis remains hypothesis-generating.</w:t>
      </w:r>
    </w:p>
    <w:p>
      <w:r>
        <w:rPr>
          <w:b/>
        </w:rPr>
        <w:t xml:space="preserve">Keywords: </w:t>
      </w:r>
      <w:r>
        <w:t>archaic introgression; Neanderthal; Denisovan; population genetics; geographic distance; quadratic assignment procedure; ABO</w:t>
      </w:r>
    </w:p>
    <w:p>
      <w:r>
        <w:br w:type="page"/>
      </w:r>
    </w:p>
    <w:p>
      <w:pPr>
        <w:pStyle w:val="Heading1"/>
      </w:pPr>
      <w:r>
        <w:t>Introduction</w:t>
      </w:r>
    </w:p>
    <w:p>
      <w:pPr>
        <w:ind w:firstLine="432"/>
      </w:pPr>
      <w:r>
        <w:rPr>
          <w:rFonts w:ascii="Times New Roman" w:hAnsi="Times New Roman"/>
          <w:i w:val="0"/>
          <w:sz w:val="24"/>
        </w:rPr>
        <w:t>Genomic comparisons established gene flow from Neanderthals and Denisovans into ancestors of present-day populations outside Africa (Green et al. 2010; Reich et al. 2010). The amount and genomic distribution of introgressed sequence vary among populations because of demographic history, drift, selection, and multiple introgression histories (Sankararaman et al. 2014; Sankararaman et al. 2016; Jacobs et al. 2019). Most summaries emphasize the proportion of archaic ancestry within a population. A complementary question is whether two populations carry inferred archaic segments in similar genomic locations.</w:t>
      </w:r>
    </w:p>
    <w:p>
      <w:pPr>
        <w:ind w:firstLine="432"/>
      </w:pPr>
      <w:r>
        <w:rPr>
          <w:rFonts w:ascii="Times New Roman" w:hAnsi="Times New Roman"/>
          <w:i w:val="0"/>
          <w:sz w:val="24"/>
        </w:rPr>
        <w:t>Geographic gradients in archaic ancestry may reflect range expansions and serial demographic processes rather than a single migration event (Quilodran et al. 2023). Pairwise profile similarity offers a direct descriptive measure of shared genomic distribution, but it creates dyadic data: every population appears in many pair rows. Standard row-wise regression tests, bootstraps, or response shuffles therefore do not preserve the population-level dependence structure. Quadratic assignment procedures address this problem by permuting population labels on a complete matrix (Krackhardt 1988; Dekker, Krackhardt, and Snijders 2007).</w:t>
      </w:r>
    </w:p>
    <w:p>
      <w:pPr>
        <w:ind w:firstLine="432"/>
      </w:pPr>
      <w:r>
        <w:rPr>
          <w:rFonts w:ascii="Times New Roman" w:hAnsi="Times New Roman"/>
          <w:i w:val="0"/>
          <w:sz w:val="24"/>
        </w:rPr>
        <w:t>The primary objective was to test whether Neanderthal- and Denisovan-segment profile similarity declines with great-circle distance across 66 populations from the 1000 Genomes Project and Human Genome Diversity Project. We also tested robustness to alternative genomic windows, similarity metrics, sample-size thresholds, datasets, co-located pairs, and regional omission. A secondary analysis of the ABO-centered interval was retained because ABO has an unusually deep allelic history and has motivated founder-effect and archaic-background hypotheses (Calafell et al. 2008; Halverson and Bolnick 2008; Segurel et al. 2012; Condemi et al. 2021). This focal analysis was prespecified as exploratory and was not used to infer a migration route.</w:t>
      </w:r>
    </w:p>
    <w:p>
      <w:pPr>
        <w:pStyle w:val="Heading1"/>
      </w:pPr>
      <w:r>
        <w:t>Materials and Methods</w:t>
      </w:r>
    </w:p>
    <w:p>
      <w:pPr>
        <w:pStyle w:val="Heading2"/>
      </w:pPr>
      <w:r>
        <w:t>Data sources and population inclusion</w:t>
      </w:r>
    </w:p>
    <w:p>
      <w:pPr>
        <w:ind w:firstLine="432"/>
      </w:pPr>
      <w:r>
        <w:rPr>
          <w:rFonts w:ascii="Times New Roman" w:hAnsi="Times New Roman"/>
          <w:i w:val="0"/>
          <w:sz w:val="24"/>
        </w:rPr>
        <w:t>We analyzed publicly archived hmmix segment calls from 1000 Genomes and HGDP samples in Zenodo record 14136628. Hmmix detects candidate archaic sequence without requiring an unadmixed modern outgroup (Skov et al. 2018). Source population definitions followed the 1000 Genomes and HGDP resources (1000 Genomes Project Consortium 2015; Bergström et al. 2020).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distance per 1,000 km, involvement of one of four designated recently admixed American populations (PUR, CLM, MXL, or PEL), same-continent status, and same-dataset status. These indicators are coarse sensitivity covariates, not individual ancestry estimates or causal controls. Distance-only models were also fit.</w:t>
      </w:r>
    </w:p>
    <w:p>
      <w:pPr>
        <w:ind w:firstLine="432"/>
      </w:pPr>
      <w:r>
        <w:rPr>
          <w:rFonts w:ascii="Times New Roman" w:hAnsi="Times New Roman"/>
          <w:i w:val="0"/>
          <w:sz w:val="24"/>
        </w:rPr>
        <w:t>Coefficient P values used 9,999 quadratic assignment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modeled using distance, same-continent status, and same-dataset status. Positive residuals were standardized by the residual standard deviation. For every pair, a one-sided nominal P value was calculated from its own residual null distribution across 9,999 population-label permutations. The Benjamini-Hochberg procedure was applied jointly to all non-admixed pairs within each ancestry analysis (Benjamini and Hochberg 1995). A supported positive outlier required z&gt;2 and q&lt;0.10.</w:t>
      </w:r>
    </w:p>
    <w:p>
      <w:pPr>
        <w:pStyle w:val="Heading2"/>
      </w:pPr>
      <w:r>
        <w:t>Robustness analyses</w:t>
      </w:r>
    </w:p>
    <w:p>
      <w:pPr>
        <w:ind w:firstLine="432"/>
      </w:pPr>
      <w:r>
        <w:rPr>
          <w:rFonts w:ascii="Times New Roman" w:hAnsi="Times New Roman"/>
          <w:i w:val="0"/>
          <w:sz w:val="24"/>
        </w:rPr>
        <w:t>We repeated distance-only population-label tests for 250-kb, 500-kb, and 1-Mb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GRCh38 as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O2-defining rs41302905 T allele was summarized from Ensembl/1000 Genomes frequencies and published Solomon Islands frequencies (Ohashi et al. 2006). Ancient-window observations were descriptively extracted from public outputs associated with Iasi et al. (2024); ancient and modern calls were not directly compared statistically.</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CARE principles (Claw et al. 2018; Carroll et al. 2020). Population labels were retained only when needed for transparent source-data description; locus-level observations were not generalized to communities, and migration routes were not assigned from these data. The public article, code, and derived aggregate results are the current means of results availability. These disclosures follow the expanded AJBA guidance on ethical review and stakeholder communication (Turner 2025).</w:t>
      </w:r>
    </w:p>
    <w:p>
      <w:pPr>
        <w:pStyle w:val="Heading1"/>
      </w:pPr>
      <w:r>
        <w:t>Results</w:t>
      </w:r>
    </w:p>
    <w:p>
      <w:pPr>
        <w:pStyle w:val="Heading2"/>
      </w:pPr>
      <w:r>
        <w:t>Data-validity correction</w:t>
      </w:r>
    </w:p>
    <w:p>
      <w:pPr>
        <w:ind w:firstLine="432"/>
      </w:pPr>
      <w:r>
        <w:rPr>
          <w:rFonts w:ascii="Times New Roman" w:hAnsi="Times New Roman"/>
          <w:i w:val="0"/>
          <w:sz w:val="24"/>
        </w:rPr>
        <w:t>Collapsing fragmented segments at the individual-haplotype-window level removed duplicate contributions that could otherwise make a nominal frequency exceed 1. In the rebuilt profiles, the maximum frequency was 1.0 for both ancestry categories and no population-window frequency exceeded 1. The analysis retained 66 populations, 3,134 individuals, and 2,145 unique population pairs.</w:t>
      </w:r>
    </w:p>
    <w:p>
      <w:pPr>
        <w:pStyle w:val="Heading2"/>
      </w:pPr>
      <w:r>
        <w:t>Geographic distance decay</w:t>
      </w:r>
    </w:p>
    <w:p>
      <w:pPr>
        <w:ind w:firstLine="432"/>
      </w:pPr>
      <w:r>
        <w:rPr>
          <w:rFonts w:ascii="Times New Roman" w:hAnsi="Times New Roman"/>
          <w:i w:val="0"/>
          <w:sz w:val="24"/>
        </w:rPr>
        <w:t>Neanderthal profile similarity declined with distance (raw r=-0.497); the corresponding Denisovan correlation was -0.462. Partial distance correlations from the expanded descriptive models were -0.369 and -0.326. Distance-only R-squared values were 0.247 and 0.213; expanded-model values were 0.546 and 0.511. The QAP distance coefficients per 1,000 km were -0.01892 (P=0.0001) and -0.01918 (P=0.0002) (Figure 1).</w:t>
      </w:r>
    </w:p>
    <w:p>
      <w:pPr>
        <w:spacing w:before="320"/>
        <w:jc w:val="center"/>
      </w:pPr>
      <w:r>
        <w:drawing>
          <wp:inline xmlns:a="http://schemas.openxmlformats.org/drawingml/2006/main" xmlns:pic="http://schemas.openxmlformats.org/drawingml/2006/picture">
            <wp:extent cx="5806440" cy="2714541"/>
            <wp:docPr id="1" name="Picture 1"/>
            <wp:cNvGraphicFramePr>
              <a:graphicFrameLocks noChangeAspect="1"/>
            </wp:cNvGraphicFramePr>
            <a:graphic>
              <a:graphicData uri="http://schemas.openxmlformats.org/drawingml/2006/picture">
                <pic:pic>
                  <pic:nvPicPr>
                    <pic:cNvPr id="0" name="fig1_sharing_vs_distance.png"/>
                    <pic:cNvPicPr/>
                  </pic:nvPicPr>
                  <pic:blipFill>
                    <a:blip r:embed="rId9"/>
                    <a:stretch>
                      <a:fillRect/>
                    </a:stretch>
                  </pic:blipFill>
                  <pic:spPr>
                    <a:xfrm>
                      <a:off x="0" y="0"/>
                      <a:ext cx="5806440" cy="2714541"/>
                    </a:xfrm>
                    <a:prstGeom prst="rect"/>
                  </pic:spPr>
                </pic:pic>
              </a:graphicData>
            </a:graphic>
          </wp:inline>
        </w:drawing>
      </w:r>
    </w:p>
    <w:p>
      <w:pPr>
        <w:spacing w:before="200" w:line="276" w:lineRule="auto"/>
      </w:pPr>
      <w:r>
        <w:rPr>
          <w:b/>
        </w:rPr>
        <w:t xml:space="preserve">Figure 1. </w:t>
      </w:r>
      <w:r>
        <w:t>Archaic-segment profile similarity and geographic distance. Each point is a dependent population pair. Lines are descriptive distance-only fits; reported P values use population-label quadratic assignment permutations.</w:t>
      </w:r>
    </w:p>
    <w:p>
      <w:pPr>
        <w:pStyle w:val="Heading2"/>
      </w:pPr>
      <w:r>
        <w:t>Population structure</w:t>
      </w:r>
    </w:p>
    <w:p>
      <w:pPr>
        <w:ind w:firstLine="432"/>
      </w:pPr>
      <w:r>
        <w:rPr>
          <w:rFonts w:ascii="Times New Roman" w:hAnsi="Times New Roman"/>
          <w:i w:val="0"/>
          <w:sz w:val="24"/>
        </w:rPr>
        <w:t>The representative heat maps showed broad regional blocks and a stronger Oceanian contrast in the Denisovan profile (Figure 2). The complete 66-population heat map is provided as Figure S1.</w:t>
      </w:r>
    </w:p>
    <w:p>
      <w:pPr>
        <w:spacing w:before="320"/>
        <w:jc w:val="center"/>
      </w:pPr>
      <w:r>
        <w:drawing>
          <wp:inline xmlns:a="http://schemas.openxmlformats.org/drawingml/2006/main" xmlns:pic="http://schemas.openxmlformats.org/drawingml/2006/picture">
            <wp:extent cx="5806440" cy="2695784"/>
            <wp:docPr id="2" name="Picture 2"/>
            <wp:cNvGraphicFramePr>
              <a:graphicFrameLocks noChangeAspect="1"/>
            </wp:cNvGraphicFramePr>
            <a:graphic>
              <a:graphicData uri="http://schemas.openxmlformats.org/drawingml/2006/picture">
                <pic:pic>
                  <pic:nvPicPr>
                    <pic:cNvPr id="0" name="fig2_sharing_heatmap.png"/>
                    <pic:cNvPicPr/>
                  </pic:nvPicPr>
                  <pic:blipFill>
                    <a:blip r:embed="rId10"/>
                    <a:stretch>
                      <a:fillRect/>
                    </a:stretch>
                  </pic:blipFill>
                  <pic:spPr>
                    <a:xfrm>
                      <a:off x="0" y="0"/>
                      <a:ext cx="5806440" cy="2695784"/>
                    </a:xfrm>
                    <a:prstGeom prst="rect"/>
                  </pic:spPr>
                </pic:pic>
              </a:graphicData>
            </a:graphic>
          </wp:inline>
        </w:drawing>
      </w:r>
    </w:p>
    <w:p>
      <w:pPr>
        <w:spacing w:before="200" w:line="276" w:lineRule="auto"/>
      </w:pPr>
      <w:r>
        <w:rPr>
          <w:b/>
        </w:rPr>
        <w:t xml:space="preserve">Figure 2. </w:t>
      </w:r>
      <w:r>
        <w:t>Pairwise archaic-segment profile similarity for 31 prespecified populations. The subset is displayed for legibility; all 66 populations were analyzed.</w:t>
      </w:r>
    </w:p>
    <w:p>
      <w:pPr>
        <w:pStyle w:val="Heading2"/>
      </w:pPr>
      <w:r>
        <w:t>Schematic dispersal context</w:t>
      </w:r>
    </w:p>
    <w:p>
      <w:pPr>
        <w:ind w:firstLine="432"/>
      </w:pPr>
      <w:r>
        <w:rPr>
          <w:rFonts w:ascii="Times New Roman" w:hAnsi="Times New Roman"/>
          <w:i w:val="0"/>
          <w:sz w:val="24"/>
        </w:rPr>
        <w:t>A polygon-based Minard diagram places the analysis within broad dispersal and archaic-introgression contexts (Figure 3). Band widths, branch positions, and event placement are schematic and are not estimates from the present pairwise analysis.</w:t>
      </w:r>
    </w:p>
    <w:p>
      <w:pPr>
        <w:spacing w:before="320"/>
        <w:jc w:val="center"/>
      </w:pPr>
      <w:r>
        <w:drawing>
          <wp:inline xmlns:a="http://schemas.openxmlformats.org/drawingml/2006/main" xmlns:pic="http://schemas.openxmlformats.org/drawingml/2006/picture">
            <wp:extent cx="5806440" cy="3179543"/>
            <wp:docPr id="3" name="Picture 3"/>
            <wp:cNvGraphicFramePr>
              <a:graphicFrameLocks noChangeAspect="1"/>
            </wp:cNvGraphicFramePr>
            <a:graphic>
              <a:graphicData uri="http://schemas.openxmlformats.org/drawingml/2006/picture">
                <pic:pic>
                  <pic:nvPicPr>
                    <pic:cNvPr id="0" name="fig3_minard_migration.png"/>
                    <pic:cNvPicPr/>
                  </pic:nvPicPr>
                  <pic:blipFill>
                    <a:blip r:embed="rId11"/>
                    <a:stretch>
                      <a:fillRect/>
                    </a:stretch>
                  </pic:blipFill>
                  <pic:spPr>
                    <a:xfrm>
                      <a:off x="0" y="0"/>
                      <a:ext cx="5806440" cy="3179543"/>
                    </a:xfrm>
                    <a:prstGeom prst="rect"/>
                  </pic:spPr>
                </pic:pic>
              </a:graphicData>
            </a:graphic>
          </wp:inline>
        </w:drawing>
      </w:r>
    </w:p>
    <w:p>
      <w:pPr>
        <w:spacing w:before="200" w:line="276" w:lineRule="auto"/>
      </w:pPr>
      <w:r>
        <w:rPr>
          <w:b/>
        </w:rPr>
        <w:t xml:space="preserve">Figure 3. </w:t>
      </w:r>
      <w:r>
        <w:t>Polygon-based Minard-style schematic of human dispersal and archaic introgression. Band widths, branch positions, and event placement are illustrative and do not estimate migration magnitude, ancestry proportion, or a route supported by the present analysis.</w:t>
      </w:r>
    </w:p>
    <w:p>
      <w:pPr>
        <w:pStyle w:val="Heading2"/>
      </w:pPr>
      <w:r>
        <w:t>Robustness analyses</w:t>
      </w:r>
    </w:p>
    <w:p>
      <w:pPr>
        <w:ind w:firstLine="432"/>
      </w:pPr>
      <w:r>
        <w:rPr>
          <w:rFonts w:ascii="Times New Roman" w:hAnsi="Times New Roman"/>
          <w:i w:val="0"/>
          <w:sz w:val="24"/>
        </w:rPr>
        <w:t>Negative distance correlations were examined across admixture exclusions, within-dataset subsets, minimum sample sizes, and regional omissions. Figure 4 shows the effect of excluding designated recently admixed populations, and Figure 5 shows window-size results at 250 kb, 500 kb, and 1 Mb. These analyses were treated as robustness checks rather than independent confirmatory tests.</w:t>
      </w:r>
    </w:p>
    <w:p>
      <w:pPr>
        <w:spacing w:before="320"/>
        <w:jc w:val="center"/>
      </w:pPr>
      <w:r>
        <w:drawing>
          <wp:inline xmlns:a="http://schemas.openxmlformats.org/drawingml/2006/main" xmlns:pic="http://schemas.openxmlformats.org/drawingml/2006/picture">
            <wp:extent cx="5806440" cy="3440471"/>
            <wp:docPr id="4" name="Picture 4"/>
            <wp:cNvGraphicFramePr>
              <a:graphicFrameLocks noChangeAspect="1"/>
            </wp:cNvGraphicFramePr>
            <a:graphic>
              <a:graphicData uri="http://schemas.openxmlformats.org/drawingml/2006/picture">
                <pic:pic>
                  <pic:nvPicPr>
                    <pic:cNvPr id="0" name="fig4_sensitivity_admixed.png"/>
                    <pic:cNvPicPr/>
                  </pic:nvPicPr>
                  <pic:blipFill>
                    <a:blip r:embed="rId12"/>
                    <a:stretch>
                      <a:fillRect/>
                    </a:stretch>
                  </pic:blipFill>
                  <pic:spPr>
                    <a:xfrm>
                      <a:off x="0" y="0"/>
                      <a:ext cx="5806440" cy="3440471"/>
                    </a:xfrm>
                    <a:prstGeom prst="rect"/>
                  </pic:spPr>
                </pic:pic>
              </a:graphicData>
            </a:graphic>
          </wp:inline>
        </w:drawing>
      </w:r>
    </w:p>
    <w:p>
      <w:pPr>
        <w:spacing w:before="200" w:line="276" w:lineRule="auto"/>
      </w:pPr>
      <w:r>
        <w:rPr>
          <w:b/>
        </w:rPr>
        <w:t xml:space="preserve">Figure 4. </w:t>
      </w:r>
      <w:r>
        <w:t>Sensitivity of the descriptive Neanderthal distance correlation to exclusion of designated recently admixed populations.</w:t>
      </w:r>
    </w:p>
    <w:p>
      <w:pPr>
        <w:spacing w:before="320"/>
        <w:jc w:val="center"/>
      </w:pPr>
      <w:r>
        <w:drawing>
          <wp:inline xmlns:a="http://schemas.openxmlformats.org/drawingml/2006/main" xmlns:pic="http://schemas.openxmlformats.org/drawingml/2006/picture">
            <wp:extent cx="5806440" cy="3705395"/>
            <wp:docPr id="5" name="Picture 5"/>
            <wp:cNvGraphicFramePr>
              <a:graphicFrameLocks noChangeAspect="1"/>
            </wp:cNvGraphicFramePr>
            <a:graphic>
              <a:graphicData uri="http://schemas.openxmlformats.org/drawingml/2006/picture">
                <pic:pic>
                  <pic:nvPicPr>
                    <pic:cNvPr id="0" name="fig5_window_sensitivity.png"/>
                    <pic:cNvPicPr/>
                  </pic:nvPicPr>
                  <pic:blipFill>
                    <a:blip r:embed="rId13"/>
                    <a:stretch>
                      <a:fillRect/>
                    </a:stretch>
                  </pic:blipFill>
                  <pic:spPr>
                    <a:xfrm>
                      <a:off x="0" y="0"/>
                      <a:ext cx="5806440" cy="3705395"/>
                    </a:xfrm>
                    <a:prstGeom prst="rect"/>
                  </pic:spPr>
                </pic:pic>
              </a:graphicData>
            </a:graphic>
          </wp:inline>
        </w:drawing>
      </w:r>
    </w:p>
    <w:p>
      <w:pPr>
        <w:spacing w:before="200" w:line="276" w:lineRule="auto"/>
      </w:pPr>
      <w:r>
        <w:rPr>
          <w:b/>
        </w:rPr>
        <w:t xml:space="preserve">Figure 5. </w:t>
      </w:r>
      <w:r>
        <w:t>Descriptive geographic distance correlations at 250-kb, 500-kb, and 1-Mb window sizes. QAP results are tabulated in Supplementary Data.</w:t>
      </w:r>
    </w:p>
    <w:p>
      <w:pPr>
        <w:pStyle w:val="Heading2"/>
      </w:pPr>
      <w:r>
        <w:t>Residual outlier testing</w:t>
      </w:r>
    </w:p>
    <w:p>
      <w:pPr>
        <w:ind w:firstLine="432"/>
      </w:pPr>
      <w:r>
        <w:rPr>
          <w:rFonts w:ascii="Times New Roman" w:hAnsi="Times New Roman"/>
          <w:i w:val="0"/>
          <w:sz w:val="24"/>
        </w:rPr>
        <w:t>No non-admixed pair met both the positive-residual z&gt;2 criterion and Benjamini-Hochberg q&lt;0.10 for either ancestry category. Nominal residual ranks are retained in the full pairwise data table for auditability but are not interpreted as statistically supported population connections (Table 1).</w:t>
      </w:r>
    </w:p>
    <w:p>
      <w:pPr>
        <w:spacing w:before="280"/>
      </w:pPr>
      <w:r>
        <w:rPr>
          <w:b/>
        </w:rPr>
        <w:t>Table 1. FDR-supported positive-residual Neanderthal population pairs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9EAF7"/>
          </w:tcPr>
          <w:p>
            <w:pPr>
              <w:spacing w:line="240" w:lineRule="auto"/>
            </w:pPr>
            <w:r>
              <w:rPr>
                <w:rFonts w:ascii="Arial" w:hAnsi="Arial"/>
                <w:b/>
                <w:sz w:val="17"/>
              </w:rPr>
              <w:t>Population 1</w:t>
            </w:r>
          </w:p>
        </w:tc>
        <w:tc>
          <w:tcPr>
            <w:tcW w:type="dxa" w:w="1337"/>
            <w:shd w:fill="D9EAF7"/>
          </w:tcPr>
          <w:p>
            <w:pPr>
              <w:spacing w:line="240" w:lineRule="auto"/>
            </w:pPr>
            <w:r>
              <w:rPr>
                <w:rFonts w:ascii="Arial" w:hAnsi="Arial"/>
                <w:b/>
                <w:sz w:val="17"/>
              </w:rPr>
              <w:t>Population 2</w:t>
            </w:r>
          </w:p>
        </w:tc>
        <w:tc>
          <w:tcPr>
            <w:tcW w:type="dxa" w:w="1337"/>
            <w:shd w:fill="D9EAF7"/>
          </w:tcPr>
          <w:p>
            <w:pPr>
              <w:spacing w:line="240" w:lineRule="auto"/>
            </w:pPr>
            <w:r>
              <w:rPr>
                <w:rFonts w:ascii="Arial" w:hAnsi="Arial"/>
                <w:b/>
                <w:sz w:val="17"/>
              </w:rPr>
              <w:t>Region 1</w:t>
            </w:r>
          </w:p>
        </w:tc>
        <w:tc>
          <w:tcPr>
            <w:tcW w:type="dxa" w:w="1337"/>
            <w:shd w:fill="D9EAF7"/>
          </w:tcPr>
          <w:p>
            <w:pPr>
              <w:spacing w:line="240" w:lineRule="auto"/>
            </w:pPr>
            <w:r>
              <w:rPr>
                <w:rFonts w:ascii="Arial" w:hAnsi="Arial"/>
                <w:b/>
                <w:sz w:val="17"/>
              </w:rPr>
              <w:t>Region 2</w:t>
            </w:r>
          </w:p>
        </w:tc>
        <w:tc>
          <w:tcPr>
            <w:tcW w:type="dxa" w:w="1337"/>
            <w:shd w:fill="D9EAF7"/>
          </w:tcPr>
          <w:p>
            <w:pPr>
              <w:spacing w:line="240" w:lineRule="auto"/>
            </w:pPr>
            <w:r>
              <w:rPr>
                <w:rFonts w:ascii="Arial" w:hAnsi="Arial"/>
                <w:b/>
                <w:sz w:val="17"/>
              </w:rPr>
              <w:t>Distance (km)</w:t>
            </w:r>
          </w:p>
        </w:tc>
        <w:tc>
          <w:tcPr>
            <w:tcW w:type="dxa" w:w="1337"/>
            <w:shd w:fill="D9EAF7"/>
          </w:tcPr>
          <w:p>
            <w:pPr>
              <w:spacing w:line="240" w:lineRule="auto"/>
            </w:pPr>
            <w:r>
              <w:rPr>
                <w:rFonts w:ascii="Arial" w:hAnsi="Arial"/>
                <w:b/>
                <w:sz w:val="17"/>
              </w:rPr>
              <w:t>Sharing (r)</w:t>
            </w:r>
          </w:p>
        </w:tc>
        <w:tc>
          <w:tcPr>
            <w:tcW w:type="dxa" w:w="1337"/>
            <w:shd w:fill="D9EAF7"/>
          </w:tcPr>
          <w:p>
            <w:pPr>
              <w:spacing w:line="240" w:lineRule="auto"/>
            </w:pPr>
            <w:r>
              <w:rPr>
                <w:rFonts w:ascii="Arial" w:hAnsi="Arial"/>
                <w:b/>
                <w:sz w:val="17"/>
              </w:rPr>
              <w:t>z-score</w:t>
            </w:r>
          </w:p>
        </w:tc>
      </w:tr>
      <w:tr>
        <w:tc>
          <w:tcPr>
            <w:tcW w:type="dxa" w:w="1337"/>
          </w:tcPr>
          <w:p>
            <w:pPr>
              <w:spacing w:line="240" w:lineRule="auto"/>
            </w:pPr>
            <w:r>
              <w:rPr>
                <w:rFonts w:ascii="Arial" w:hAnsi="Arial"/>
                <w:b w:val="0"/>
                <w:sz w:val="17"/>
              </w:rPr>
              <w:t>No qualifying pair</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No z&gt;2 and q&lt;0.10 result</w:t>
            </w:r>
          </w:p>
        </w:tc>
      </w:tr>
    </w:tbl>
    <w:p>
      <w:pPr>
        <w:spacing w:line="240" w:lineRule="auto"/>
      </w:pPr>
      <w:r>
        <w:rPr>
          <w:sz w:val="18"/>
        </w:rPr>
        <w:t>Note. The prespecified family contains all non-admixed population pairs. No pair met both z&gt;2 and Benjamini-Hochberg q&lt;0.10; the Denisovan analysis likewise identified no qualifying pair. Complete nominal rankings and dependence-aware model results are provided in Supplementary Data.</w:t>
      </w:r>
    </w:p>
    <w:p>
      <w:pPr>
        <w:pStyle w:val="Heading2"/>
      </w:pPr>
      <w:r>
        <w:t>Secondary ABO-window observations</w:t>
      </w:r>
    </w:p>
    <w:p>
      <w:pPr>
        <w:ind w:firstLine="432"/>
      </w:pPr>
      <w:r>
        <w:rPr>
          <w:rFonts w:ascii="Times New Roman" w:hAnsi="Times New Roman"/>
          <w:i w:val="0"/>
          <w:sz w:val="24"/>
        </w:rPr>
        <w:t>The 500-kb ABO-centered scan identified 834 Neanderthal or Both source segments, of which 129 overlapped the ABO gene. Of the 834 interval segments, 335 had tied maximum reference similarity and were not forced to a lineage. In the Indigenous American HGDP subset, one Pima segment overlapped ABO and one Maya segment lay downstream within the wider interval. Both were Vindija-closest, but two segments among 41 represented individuals do not support a regional proportion or migration-route inference (Figure 6; Table 2).</w:t>
      </w:r>
    </w:p>
    <w:p>
      <w:pPr>
        <w:spacing w:before="320"/>
        <w:jc w:val="center"/>
      </w:pPr>
      <w:r>
        <w:drawing>
          <wp:inline xmlns:a="http://schemas.openxmlformats.org/drawingml/2006/main" xmlns:pic="http://schemas.openxmlformats.org/drawingml/2006/picture">
            <wp:extent cx="5806440" cy="2332323"/>
            <wp:docPr id="6" name="Picture 6"/>
            <wp:cNvGraphicFramePr>
              <a:graphicFrameLocks noChangeAspect="1"/>
            </wp:cNvGraphicFramePr>
            <a:graphic>
              <a:graphicData uri="http://schemas.openxmlformats.org/drawingml/2006/picture">
                <pic:pic>
                  <pic:nvPicPr>
                    <pic:cNvPr id="0" name="fig5_abo_sublineage.png"/>
                    <pic:cNvPicPr/>
                  </pic:nvPicPr>
                  <pic:blipFill>
                    <a:blip r:embed="rId14"/>
                    <a:stretch>
                      <a:fillRect/>
                    </a:stretch>
                  </pic:blipFill>
                  <pic:spPr>
                    <a:xfrm>
                      <a:off x="0" y="0"/>
                      <a:ext cx="5806440" cy="2332323"/>
                    </a:xfrm>
                    <a:prstGeom prst="rect"/>
                  </pic:spPr>
                </pic:pic>
              </a:graphicData>
            </a:graphic>
          </wp:inline>
        </w:drawing>
      </w:r>
    </w:p>
    <w:p>
      <w:pPr>
        <w:spacing w:before="200" w:line="276" w:lineRule="auto"/>
      </w:pPr>
      <w:r>
        <w:rPr>
          <w:b/>
        </w:rPr>
        <w:t xml:space="preserve">Figure 6. </w:t>
      </w:r>
      <w:r>
        <w:t>ABO-centered analysis preserving the historical grouped-bar and segment-map layout. Equal maximum-similarity ties are excluded from the displayed three-reference proportions and retained in Supplementary Data. The Pima segment overlaps ABO; the Maya segment is within the wider interval but does not overlap the gene. Counts are segments, not regional frequencies.</w:t>
      </w:r>
    </w:p>
    <w:p>
      <w:pPr>
        <w:spacing w:before="280"/>
      </w:pPr>
      <w:r>
        <w:rPr>
          <w:b/>
        </w:rPr>
        <w:t>Table 2. ABO-window Neanderthal-reference composition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AF7"/>
          </w:tcPr>
          <w:p>
            <w:pPr>
              <w:spacing w:line="240" w:lineRule="auto"/>
            </w:pPr>
            <w:r>
              <w:rPr>
                <w:rFonts w:ascii="Arial" w:hAnsi="Arial"/>
                <w:b/>
                <w:sz w:val="17"/>
              </w:rPr>
              <w:t>Region</w:t>
            </w:r>
          </w:p>
        </w:tc>
        <w:tc>
          <w:tcPr>
            <w:tcW w:type="dxa" w:w="1872"/>
            <w:shd w:fill="D9EAF7"/>
          </w:tcPr>
          <w:p>
            <w:pPr>
              <w:spacing w:line="240" w:lineRule="auto"/>
            </w:pPr>
            <w:r>
              <w:rPr>
                <w:rFonts w:ascii="Arial" w:hAnsi="Arial"/>
                <w:b/>
                <w:sz w:val="17"/>
              </w:rPr>
              <w:t>n</w:t>
            </w:r>
          </w:p>
        </w:tc>
        <w:tc>
          <w:tcPr>
            <w:tcW w:type="dxa" w:w="1872"/>
            <w:shd w:fill="D9EAF7"/>
          </w:tcPr>
          <w:p>
            <w:pPr>
              <w:spacing w:line="240" w:lineRule="auto"/>
            </w:pPr>
            <w:r>
              <w:rPr>
                <w:rFonts w:ascii="Arial" w:hAnsi="Arial"/>
                <w:b/>
                <w:sz w:val="17"/>
              </w:rPr>
              <w:t>Altai %</w:t>
            </w:r>
          </w:p>
        </w:tc>
        <w:tc>
          <w:tcPr>
            <w:tcW w:type="dxa" w:w="1872"/>
            <w:shd w:fill="D9EAF7"/>
          </w:tcPr>
          <w:p>
            <w:pPr>
              <w:spacing w:line="240" w:lineRule="auto"/>
            </w:pPr>
            <w:r>
              <w:rPr>
                <w:rFonts w:ascii="Arial" w:hAnsi="Arial"/>
                <w:b/>
                <w:sz w:val="17"/>
              </w:rPr>
              <w:t>Vindija %</w:t>
            </w:r>
          </w:p>
        </w:tc>
        <w:tc>
          <w:tcPr>
            <w:tcW w:type="dxa" w:w="1872"/>
            <w:shd w:fill="D9EAF7"/>
          </w:tcPr>
          <w:p>
            <w:pPr>
              <w:spacing w:line="240" w:lineRule="auto"/>
            </w:pPr>
            <w:r>
              <w:rPr>
                <w:rFonts w:ascii="Arial" w:hAnsi="Arial"/>
                <w:b/>
                <w:sz w:val="17"/>
              </w:rPr>
              <w:t>Chagyrskaya %</w:t>
            </w:r>
          </w:p>
        </w:tc>
      </w:tr>
      <w:tr>
        <w:tc>
          <w:tcPr>
            <w:tcW w:type="dxa" w:w="1872"/>
          </w:tcPr>
          <w:p>
            <w:pPr>
              <w:spacing w:line="240" w:lineRule="auto"/>
            </w:pPr>
            <w:r>
              <w:rPr>
                <w:rFonts w:ascii="Arial" w:hAnsi="Arial"/>
                <w:b w:val="0"/>
                <w:sz w:val="17"/>
              </w:rPr>
              <w:t>East Asia</w:t>
            </w:r>
          </w:p>
        </w:tc>
        <w:tc>
          <w:tcPr>
            <w:tcW w:type="dxa" w:w="1872"/>
          </w:tcPr>
          <w:p>
            <w:pPr>
              <w:spacing w:line="240" w:lineRule="auto"/>
            </w:pPr>
            <w:r>
              <w:rPr>
                <w:rFonts w:ascii="Arial" w:hAnsi="Arial"/>
                <w:b w:val="0"/>
                <w:sz w:val="17"/>
              </w:rPr>
              <w:t>57</w:t>
            </w:r>
          </w:p>
        </w:tc>
        <w:tc>
          <w:tcPr>
            <w:tcW w:type="dxa" w:w="1872"/>
          </w:tcPr>
          <w:p>
            <w:pPr>
              <w:spacing w:line="240" w:lineRule="auto"/>
            </w:pPr>
            <w:r>
              <w:rPr>
                <w:rFonts w:ascii="Arial" w:hAnsi="Arial"/>
                <w:b w:val="0"/>
                <w:sz w:val="17"/>
              </w:rPr>
              <w:t>54.4</w:t>
            </w:r>
          </w:p>
        </w:tc>
        <w:tc>
          <w:tcPr>
            <w:tcW w:type="dxa" w:w="1872"/>
          </w:tcPr>
          <w:p>
            <w:pPr>
              <w:spacing w:line="240" w:lineRule="auto"/>
            </w:pPr>
            <w:r>
              <w:rPr>
                <w:rFonts w:ascii="Arial" w:hAnsi="Arial"/>
                <w:b w:val="0"/>
                <w:sz w:val="17"/>
              </w:rPr>
              <w:t>1.8</w:t>
            </w:r>
          </w:p>
        </w:tc>
        <w:tc>
          <w:tcPr>
            <w:tcW w:type="dxa" w:w="1872"/>
          </w:tcPr>
          <w:p>
            <w:pPr>
              <w:spacing w:line="240" w:lineRule="auto"/>
            </w:pPr>
            <w:r>
              <w:rPr>
                <w:rFonts w:ascii="Arial" w:hAnsi="Arial"/>
                <w:b w:val="0"/>
                <w:sz w:val="17"/>
              </w:rPr>
              <w:t>43.9</w:t>
            </w:r>
          </w:p>
        </w:tc>
      </w:tr>
      <w:tr>
        <w:tc>
          <w:tcPr>
            <w:tcW w:type="dxa" w:w="1872"/>
          </w:tcPr>
          <w:p>
            <w:pPr>
              <w:spacing w:line="240" w:lineRule="auto"/>
            </w:pPr>
            <w:r>
              <w:rPr>
                <w:rFonts w:ascii="Arial" w:hAnsi="Arial"/>
                <w:b w:val="0"/>
                <w:sz w:val="17"/>
              </w:rPr>
              <w:t>Europe</w:t>
            </w:r>
          </w:p>
        </w:tc>
        <w:tc>
          <w:tcPr>
            <w:tcW w:type="dxa" w:w="1872"/>
          </w:tcPr>
          <w:p>
            <w:pPr>
              <w:spacing w:line="240" w:lineRule="auto"/>
            </w:pPr>
            <w:r>
              <w:rPr>
                <w:rFonts w:ascii="Arial" w:hAnsi="Arial"/>
                <w:b w:val="0"/>
                <w:sz w:val="17"/>
              </w:rPr>
              <w:t>275</w:t>
            </w:r>
          </w:p>
        </w:tc>
        <w:tc>
          <w:tcPr>
            <w:tcW w:type="dxa" w:w="1872"/>
          </w:tcPr>
          <w:p>
            <w:pPr>
              <w:spacing w:line="240" w:lineRule="auto"/>
            </w:pPr>
            <w:r>
              <w:rPr>
                <w:rFonts w:ascii="Arial" w:hAnsi="Arial"/>
                <w:b w:val="0"/>
                <w:sz w:val="17"/>
              </w:rPr>
              <w:t>7.3</w:t>
            </w:r>
          </w:p>
        </w:tc>
        <w:tc>
          <w:tcPr>
            <w:tcW w:type="dxa" w:w="1872"/>
          </w:tcPr>
          <w:p>
            <w:pPr>
              <w:spacing w:line="240" w:lineRule="auto"/>
            </w:pPr>
            <w:r>
              <w:rPr>
                <w:rFonts w:ascii="Arial" w:hAnsi="Arial"/>
                <w:b w:val="0"/>
                <w:sz w:val="17"/>
              </w:rPr>
              <w:t>46.5</w:t>
            </w:r>
          </w:p>
        </w:tc>
        <w:tc>
          <w:tcPr>
            <w:tcW w:type="dxa" w:w="1872"/>
          </w:tcPr>
          <w:p>
            <w:pPr>
              <w:spacing w:line="240" w:lineRule="auto"/>
            </w:pPr>
            <w:r>
              <w:rPr>
                <w:rFonts w:ascii="Arial" w:hAnsi="Arial"/>
                <w:b w:val="0"/>
                <w:sz w:val="17"/>
              </w:rPr>
              <w:t>46.2</w:t>
            </w:r>
          </w:p>
        </w:tc>
      </w:tr>
      <w:tr>
        <w:tc>
          <w:tcPr>
            <w:tcW w:type="dxa" w:w="1872"/>
          </w:tcPr>
          <w:p>
            <w:pPr>
              <w:spacing w:line="240" w:lineRule="auto"/>
            </w:pPr>
            <w:r>
              <w:rPr>
                <w:rFonts w:ascii="Arial" w:hAnsi="Arial"/>
                <w:b w:val="0"/>
                <w:sz w:val="17"/>
              </w:rPr>
              <w:t>Indigenous Americas</w:t>
            </w:r>
          </w:p>
        </w:tc>
        <w:tc>
          <w:tcPr>
            <w:tcW w:type="dxa" w:w="1872"/>
          </w:tcPr>
          <w:p>
            <w:pPr>
              <w:spacing w:line="240" w:lineRule="auto"/>
            </w:pPr>
            <w:r>
              <w:rPr>
                <w:rFonts w:ascii="Arial" w:hAnsi="Arial"/>
                <w:b w:val="0"/>
                <w:sz w:val="17"/>
              </w:rPr>
              <w:t>2</w:t>
            </w:r>
          </w:p>
        </w:tc>
        <w:tc>
          <w:tcPr>
            <w:tcW w:type="dxa" w:w="1872"/>
          </w:tcPr>
          <w:p>
            <w:pPr>
              <w:spacing w:line="240" w:lineRule="auto"/>
            </w:pPr>
            <w:r>
              <w:rPr>
                <w:rFonts w:ascii="Arial" w:hAnsi="Arial"/>
                <w:b w:val="0"/>
                <w:sz w:val="17"/>
              </w:rPr>
              <w:t>0.0</w:t>
            </w:r>
          </w:p>
        </w:tc>
        <w:tc>
          <w:tcPr>
            <w:tcW w:type="dxa" w:w="1872"/>
          </w:tcPr>
          <w:p>
            <w:pPr>
              <w:spacing w:line="240" w:lineRule="auto"/>
            </w:pPr>
            <w:r>
              <w:rPr>
                <w:rFonts w:ascii="Arial" w:hAnsi="Arial"/>
                <w:b w:val="0"/>
                <w:sz w:val="17"/>
              </w:rPr>
              <w:t>100.0</w:t>
            </w:r>
          </w:p>
        </w:tc>
        <w:tc>
          <w:tcPr>
            <w:tcW w:type="dxa" w:w="1872"/>
          </w:tcPr>
          <w:p>
            <w:pPr>
              <w:spacing w:line="240" w:lineRule="auto"/>
            </w:pPr>
            <w:r>
              <w:rPr>
                <w:rFonts w:ascii="Arial" w:hAnsi="Arial"/>
                <w:b w:val="0"/>
                <w:sz w:val="17"/>
              </w:rPr>
              <w:t>0.0</w:t>
            </w:r>
          </w:p>
        </w:tc>
      </w:tr>
      <w:tr>
        <w:tc>
          <w:tcPr>
            <w:tcW w:type="dxa" w:w="1872"/>
          </w:tcPr>
          <w:p>
            <w:pPr>
              <w:spacing w:line="240" w:lineRule="auto"/>
            </w:pPr>
            <w:r>
              <w:rPr>
                <w:rFonts w:ascii="Arial" w:hAnsi="Arial"/>
                <w:b w:val="0"/>
                <w:sz w:val="17"/>
              </w:rPr>
              <w:t>Admixed Americas</w:t>
            </w:r>
          </w:p>
        </w:tc>
        <w:tc>
          <w:tcPr>
            <w:tcW w:type="dxa" w:w="1872"/>
          </w:tcPr>
          <w:p>
            <w:pPr>
              <w:spacing w:line="240" w:lineRule="auto"/>
            </w:pPr>
            <w:r>
              <w:rPr>
                <w:rFonts w:ascii="Arial" w:hAnsi="Arial"/>
                <w:b w:val="0"/>
                <w:sz w:val="17"/>
              </w:rPr>
              <w:t>98</w:t>
            </w:r>
          </w:p>
        </w:tc>
        <w:tc>
          <w:tcPr>
            <w:tcW w:type="dxa" w:w="1872"/>
          </w:tcPr>
          <w:p>
            <w:pPr>
              <w:spacing w:line="240" w:lineRule="auto"/>
            </w:pPr>
            <w:r>
              <w:rPr>
                <w:rFonts w:ascii="Arial" w:hAnsi="Arial"/>
                <w:b w:val="0"/>
                <w:sz w:val="17"/>
              </w:rPr>
              <w:t>3.1</w:t>
            </w:r>
          </w:p>
        </w:tc>
        <w:tc>
          <w:tcPr>
            <w:tcW w:type="dxa" w:w="1872"/>
          </w:tcPr>
          <w:p>
            <w:pPr>
              <w:spacing w:line="240" w:lineRule="auto"/>
            </w:pPr>
            <w:r>
              <w:rPr>
                <w:rFonts w:ascii="Arial" w:hAnsi="Arial"/>
                <w:b w:val="0"/>
                <w:sz w:val="17"/>
              </w:rPr>
              <w:t>61.2</w:t>
            </w:r>
          </w:p>
        </w:tc>
        <w:tc>
          <w:tcPr>
            <w:tcW w:type="dxa" w:w="1872"/>
          </w:tcPr>
          <w:p>
            <w:pPr>
              <w:spacing w:line="240" w:lineRule="auto"/>
            </w:pPr>
            <w:r>
              <w:rPr>
                <w:rFonts w:ascii="Arial" w:hAnsi="Arial"/>
                <w:b w:val="0"/>
                <w:sz w:val="17"/>
              </w:rPr>
              <w:t>35.7</w:t>
            </w:r>
          </w:p>
        </w:tc>
      </w:tr>
      <w:tr>
        <w:tc>
          <w:tcPr>
            <w:tcW w:type="dxa" w:w="1872"/>
          </w:tcPr>
          <w:p>
            <w:pPr>
              <w:spacing w:line="240" w:lineRule="auto"/>
            </w:pPr>
            <w:r>
              <w:rPr>
                <w:rFonts w:ascii="Arial" w:hAnsi="Arial"/>
                <w:b w:val="0"/>
                <w:sz w:val="17"/>
              </w:rPr>
              <w:t>Central/South Asia</w:t>
            </w:r>
          </w:p>
        </w:tc>
        <w:tc>
          <w:tcPr>
            <w:tcW w:type="dxa" w:w="1872"/>
          </w:tcPr>
          <w:p>
            <w:pPr>
              <w:spacing w:line="240" w:lineRule="auto"/>
            </w:pPr>
            <w:r>
              <w:rPr>
                <w:rFonts w:ascii="Arial" w:hAnsi="Arial"/>
                <w:b w:val="0"/>
                <w:sz w:val="17"/>
              </w:rPr>
              <w:t>98</w:t>
            </w:r>
          </w:p>
        </w:tc>
        <w:tc>
          <w:tcPr>
            <w:tcW w:type="dxa" w:w="1872"/>
          </w:tcPr>
          <w:p>
            <w:pPr>
              <w:spacing w:line="240" w:lineRule="auto"/>
            </w:pPr>
            <w:r>
              <w:rPr>
                <w:rFonts w:ascii="Arial" w:hAnsi="Arial"/>
                <w:b w:val="0"/>
                <w:sz w:val="17"/>
              </w:rPr>
              <w:t>9.2</w:t>
            </w:r>
          </w:p>
        </w:tc>
        <w:tc>
          <w:tcPr>
            <w:tcW w:type="dxa" w:w="1872"/>
          </w:tcPr>
          <w:p>
            <w:pPr>
              <w:spacing w:line="240" w:lineRule="auto"/>
            </w:pPr>
            <w:r>
              <w:rPr>
                <w:rFonts w:ascii="Arial" w:hAnsi="Arial"/>
                <w:b w:val="0"/>
                <w:sz w:val="17"/>
              </w:rPr>
              <w:t>44.9</w:t>
            </w:r>
          </w:p>
        </w:tc>
        <w:tc>
          <w:tcPr>
            <w:tcW w:type="dxa" w:w="1872"/>
          </w:tcPr>
          <w:p>
            <w:pPr>
              <w:spacing w:line="240" w:lineRule="auto"/>
            </w:pPr>
            <w:r>
              <w:rPr>
                <w:rFonts w:ascii="Arial" w:hAnsi="Arial"/>
                <w:b w:val="0"/>
                <w:sz w:val="17"/>
              </w:rPr>
              <w:t>45.9</w:t>
            </w:r>
          </w:p>
        </w:tc>
      </w:tr>
      <w:tr>
        <w:tc>
          <w:tcPr>
            <w:tcW w:type="dxa" w:w="1872"/>
          </w:tcPr>
          <w:p>
            <w:pPr>
              <w:spacing w:line="240" w:lineRule="auto"/>
            </w:pPr>
            <w:r>
              <w:rPr>
                <w:rFonts w:ascii="Arial" w:hAnsi="Arial"/>
                <w:b w:val="0"/>
                <w:sz w:val="17"/>
              </w:rPr>
              <w:t>Middle East</w:t>
            </w:r>
          </w:p>
        </w:tc>
        <w:tc>
          <w:tcPr>
            <w:tcW w:type="dxa" w:w="1872"/>
          </w:tcPr>
          <w:p>
            <w:pPr>
              <w:spacing w:line="240" w:lineRule="auto"/>
            </w:pPr>
            <w:r>
              <w:rPr>
                <w:rFonts w:ascii="Arial" w:hAnsi="Arial"/>
                <w:b w:val="0"/>
                <w:sz w:val="17"/>
              </w:rPr>
              <w:t>44</w:t>
            </w:r>
          </w:p>
        </w:tc>
        <w:tc>
          <w:tcPr>
            <w:tcW w:type="dxa" w:w="1872"/>
          </w:tcPr>
          <w:p>
            <w:pPr>
              <w:spacing w:line="240" w:lineRule="auto"/>
            </w:pPr>
            <w:r>
              <w:rPr>
                <w:rFonts w:ascii="Arial" w:hAnsi="Arial"/>
                <w:b w:val="0"/>
                <w:sz w:val="17"/>
              </w:rPr>
              <w:t>11.4</w:t>
            </w:r>
          </w:p>
        </w:tc>
        <w:tc>
          <w:tcPr>
            <w:tcW w:type="dxa" w:w="1872"/>
          </w:tcPr>
          <w:p>
            <w:pPr>
              <w:spacing w:line="240" w:lineRule="auto"/>
            </w:pPr>
            <w:r>
              <w:rPr>
                <w:rFonts w:ascii="Arial" w:hAnsi="Arial"/>
                <w:b w:val="0"/>
                <w:sz w:val="17"/>
              </w:rPr>
              <w:t>52.3</w:t>
            </w:r>
          </w:p>
        </w:tc>
        <w:tc>
          <w:tcPr>
            <w:tcW w:type="dxa" w:w="1872"/>
          </w:tcPr>
          <w:p>
            <w:pPr>
              <w:spacing w:line="240" w:lineRule="auto"/>
            </w:pPr>
            <w:r>
              <w:rPr>
                <w:rFonts w:ascii="Arial" w:hAnsi="Arial"/>
                <w:b w:val="0"/>
                <w:sz w:val="17"/>
              </w:rPr>
              <w:t>36.4</w:t>
            </w:r>
          </w:p>
        </w:tc>
      </w:tr>
      <w:tr>
        <w:tc>
          <w:tcPr>
            <w:tcW w:type="dxa" w:w="1872"/>
          </w:tcPr>
          <w:p>
            <w:pPr>
              <w:spacing w:line="240" w:lineRule="auto"/>
            </w:pPr>
            <w:r>
              <w:rPr>
                <w:rFonts w:ascii="Arial" w:hAnsi="Arial"/>
                <w:b w:val="0"/>
                <w:sz w:val="17"/>
              </w:rPr>
              <w:t>Oceania</w:t>
            </w:r>
          </w:p>
        </w:tc>
        <w:tc>
          <w:tcPr>
            <w:tcW w:type="dxa" w:w="1872"/>
          </w:tcPr>
          <w:p>
            <w:pPr>
              <w:spacing w:line="240" w:lineRule="auto"/>
            </w:pPr>
            <w:r>
              <w:rPr>
                <w:rFonts w:ascii="Arial" w:hAnsi="Arial"/>
                <w:b w:val="0"/>
                <w:sz w:val="17"/>
              </w:rPr>
              <w:t>13</w:t>
            </w:r>
          </w:p>
        </w:tc>
        <w:tc>
          <w:tcPr>
            <w:tcW w:type="dxa" w:w="1872"/>
          </w:tcPr>
          <w:p>
            <w:pPr>
              <w:spacing w:line="240" w:lineRule="auto"/>
            </w:pPr>
            <w:r>
              <w:rPr>
                <w:rFonts w:ascii="Arial" w:hAnsi="Arial"/>
                <w:b w:val="0"/>
                <w:sz w:val="17"/>
              </w:rPr>
              <w:t>0.0</w:t>
            </w:r>
          </w:p>
        </w:tc>
        <w:tc>
          <w:tcPr>
            <w:tcW w:type="dxa" w:w="1872"/>
          </w:tcPr>
          <w:p>
            <w:pPr>
              <w:spacing w:line="240" w:lineRule="auto"/>
            </w:pPr>
            <w:r>
              <w:rPr>
                <w:rFonts w:ascii="Arial" w:hAnsi="Arial"/>
                <w:b w:val="0"/>
                <w:sz w:val="17"/>
              </w:rPr>
              <w:t>0.0</w:t>
            </w:r>
          </w:p>
        </w:tc>
        <w:tc>
          <w:tcPr>
            <w:tcW w:type="dxa" w:w="1872"/>
          </w:tcPr>
          <w:p>
            <w:pPr>
              <w:spacing w:line="240" w:lineRule="auto"/>
            </w:pPr>
            <w:r>
              <w:rPr>
                <w:rFonts w:ascii="Arial" w:hAnsi="Arial"/>
                <w:b w:val="0"/>
                <w:sz w:val="17"/>
              </w:rPr>
              <w:t>100.0</w:t>
            </w:r>
          </w:p>
        </w:tc>
      </w:tr>
    </w:tbl>
    <w:p>
      <w:pPr>
        <w:spacing w:line="240" w:lineRule="auto"/>
      </w:pPr>
      <w:r>
        <w:rPr>
          <w:sz w:val="18"/>
        </w:rPr>
        <w:t>Note. Counts are classifiable segments, not individuals. Percentages use the three-reference denominator shown by n. Equal maximum-similarity ties are excluded from these percentages but retained in Supplementary Data. The 2/2 Indigenous American value is not a regional frequency estimate; only one segment overlaps ABO.</w:t>
      </w:r>
    </w:p>
    <w:p>
      <w:pPr>
        <w:pStyle w:val="Heading2"/>
      </w:pPr>
      <w:r>
        <w:t>ABO-related and global contextual figures</w:t>
      </w:r>
    </w:p>
    <w:p>
      <w:pPr>
        <w:ind w:firstLine="432"/>
      </w:pPr>
      <w:r>
        <w:rPr>
          <w:rFonts w:ascii="Times New Roman" w:hAnsi="Times New Roman"/>
          <w:i w:val="0"/>
          <w:sz w:val="24"/>
        </w:rPr>
        <w:t>The O2-defining allele and ABO-window carrier summaries use different sources and are displayed descriptively rather than as an association analysis (Figure 7). The Ancient North Eurasian pathway is retained as a testable contextual hypothesis, not a route inferred from the two Indigenous American segment records (Figure 8). Ancient and modern ABO-window observations were produced by different pipelines and permit no formal temporal comparison (Figure 9). A literature-derived global bivariate map provides broad Neanderthal and Denisovan ancestry context; its approximate values were not used in the statistical models (Figure 10).</w:t>
      </w:r>
    </w:p>
    <w:p>
      <w:pPr>
        <w:spacing w:before="320"/>
        <w:jc w:val="center"/>
      </w:pPr>
      <w:r>
        <w:drawing>
          <wp:inline xmlns:a="http://schemas.openxmlformats.org/drawingml/2006/main" xmlns:pic="http://schemas.openxmlformats.org/drawingml/2006/picture">
            <wp:extent cx="5806440" cy="2537619"/>
            <wp:docPr id="7" name="Picture 7"/>
            <wp:cNvGraphicFramePr>
              <a:graphicFrameLocks noChangeAspect="1"/>
            </wp:cNvGraphicFramePr>
            <a:graphic>
              <a:graphicData uri="http://schemas.openxmlformats.org/drawingml/2006/picture">
                <pic:pic>
                  <pic:nvPicPr>
                    <pic:cNvPr id="0" name="fig6_o2_introgression.png"/>
                    <pic:cNvPicPr/>
                  </pic:nvPicPr>
                  <pic:blipFill>
                    <a:blip r:embed="rId15"/>
                    <a:stretch>
                      <a:fillRect/>
                    </a:stretch>
                  </pic:blipFill>
                  <pic:spPr>
                    <a:xfrm>
                      <a:off x="0" y="0"/>
                      <a:ext cx="5806440" cy="2537619"/>
                    </a:xfrm>
                    <a:prstGeom prst="rect"/>
                  </pic:spPr>
                </pic:pic>
              </a:graphicData>
            </a:graphic>
          </wp:inline>
        </w:drawing>
      </w:r>
    </w:p>
    <w:p>
      <w:pPr>
        <w:spacing w:before="200" w:line="276" w:lineRule="auto"/>
      </w:pPr>
      <w:r>
        <w:rPr>
          <w:b/>
        </w:rPr>
        <w:t xml:space="preserve">Figure 7. </w:t>
      </w:r>
      <w:r>
        <w:t>O2-defining allele frequencies and ABO-window segment-carrier frequencies. The panels use different sources and are not an association analysis; proximity does not establish that the O2 allele is Neanderthal-derived.</w:t>
      </w:r>
    </w:p>
    <w:p>
      <w:pPr>
        <w:spacing w:before="320"/>
        <w:jc w:val="center"/>
      </w:pPr>
      <w:r>
        <w:drawing>
          <wp:inline xmlns:a="http://schemas.openxmlformats.org/drawingml/2006/main" xmlns:pic="http://schemas.openxmlformats.org/drawingml/2006/picture">
            <wp:extent cx="5806440" cy="3733910"/>
            <wp:docPr id="8" name="Picture 8"/>
            <wp:cNvGraphicFramePr>
              <a:graphicFrameLocks noChangeAspect="1"/>
            </wp:cNvGraphicFramePr>
            <a:graphic>
              <a:graphicData uri="http://schemas.openxmlformats.org/drawingml/2006/picture">
                <pic:pic>
                  <pic:nvPicPr>
                    <pic:cNvPr id="0" name="fig7_ane_model.png"/>
                    <pic:cNvPicPr/>
                  </pic:nvPicPr>
                  <pic:blipFill>
                    <a:blip r:embed="rId16"/>
                    <a:stretch>
                      <a:fillRect/>
                    </a:stretch>
                  </pic:blipFill>
                  <pic:spPr>
                    <a:xfrm>
                      <a:off x="0" y="0"/>
                      <a:ext cx="5806440" cy="3733910"/>
                    </a:xfrm>
                    <a:prstGeom prst="rect"/>
                  </pic:spPr>
                </pic:pic>
              </a:graphicData>
            </a:graphic>
          </wp:inline>
        </w:drawing>
      </w:r>
    </w:p>
    <w:p>
      <w:pPr>
        <w:spacing w:before="200" w:line="276" w:lineRule="auto"/>
      </w:pPr>
      <w:r>
        <w:rPr>
          <w:b/>
        </w:rPr>
        <w:t xml:space="preserve">Figure 8. </w:t>
      </w:r>
      <w:r>
        <w:t>Ancient North Eurasian contextual hypothesis. Dashed arrows represent a testable narrative, not evidence that either observed segment followed the illustrated route.</w:t>
      </w:r>
    </w:p>
    <w:p>
      <w:pPr>
        <w:spacing w:before="320"/>
        <w:jc w:val="center"/>
      </w:pPr>
      <w:r>
        <w:drawing>
          <wp:inline xmlns:a="http://schemas.openxmlformats.org/drawingml/2006/main" xmlns:pic="http://schemas.openxmlformats.org/drawingml/2006/picture">
            <wp:extent cx="5806440" cy="2930000"/>
            <wp:docPr id="9" name="Picture 9"/>
            <wp:cNvGraphicFramePr>
              <a:graphicFrameLocks noChangeAspect="1"/>
            </wp:cNvGraphicFramePr>
            <a:graphic>
              <a:graphicData uri="http://schemas.openxmlformats.org/drawingml/2006/picture">
                <pic:pic>
                  <pic:nvPicPr>
                    <pic:cNvPr id="0" name="fig8_temporal_dynamics.png"/>
                    <pic:cNvPicPr/>
                  </pic:nvPicPr>
                  <pic:blipFill>
                    <a:blip r:embed="rId17"/>
                    <a:stretch>
                      <a:fillRect/>
                    </a:stretch>
                  </pic:blipFill>
                  <pic:spPr>
                    <a:xfrm>
                      <a:off x="0" y="0"/>
                      <a:ext cx="5806440" cy="2930000"/>
                    </a:xfrm>
                    <a:prstGeom prst="rect"/>
                  </pic:spPr>
                </pic:pic>
              </a:graphicData>
            </a:graphic>
          </wp:inline>
        </w:drawing>
      </w:r>
    </w:p>
    <w:p>
      <w:pPr>
        <w:spacing w:before="200" w:line="276" w:lineRule="auto"/>
      </w:pPr>
      <w:r>
        <w:rPr>
          <w:b/>
        </w:rPr>
        <w:t xml:space="preserve">Figure 9. </w:t>
      </w:r>
      <w:r>
        <w:t>Descriptive ancient and modern ABO-window summaries generated by different pipelines; no formal temporal comparison is made.</w:t>
      </w:r>
    </w:p>
    <w:p>
      <w:pPr>
        <w:spacing w:before="320"/>
        <w:jc w:val="center"/>
      </w:pPr>
      <w:r>
        <w:drawing>
          <wp:inline xmlns:a="http://schemas.openxmlformats.org/drawingml/2006/main" xmlns:pic="http://schemas.openxmlformats.org/drawingml/2006/picture">
            <wp:extent cx="5806440" cy="3516467"/>
            <wp:docPr id="10" name="Picture 10"/>
            <wp:cNvGraphicFramePr>
              <a:graphicFrameLocks noChangeAspect="1"/>
            </wp:cNvGraphicFramePr>
            <a:graphic>
              <a:graphicData uri="http://schemas.openxmlformats.org/drawingml/2006/picture">
                <pic:pic>
                  <pic:nvPicPr>
                    <pic:cNvPr id="0" name="fig9_bivariate_world_map.png"/>
                    <pic:cNvPicPr/>
                  </pic:nvPicPr>
                  <pic:blipFill>
                    <a:blip r:embed="rId18"/>
                    <a:stretch>
                      <a:fillRect/>
                    </a:stretch>
                  </pic:blipFill>
                  <pic:spPr>
                    <a:xfrm>
                      <a:off x="0" y="0"/>
                      <a:ext cx="5806440" cy="3516467"/>
                    </a:xfrm>
                    <a:prstGeom prst="rect"/>
                  </pic:spPr>
                </pic:pic>
              </a:graphicData>
            </a:graphic>
          </wp:inline>
        </w:drawing>
      </w:r>
    </w:p>
    <w:p>
      <w:pPr>
        <w:spacing w:before="200" w:line="276" w:lineRule="auto"/>
      </w:pPr>
      <w:r>
        <w:rPr>
          <w:b/>
        </w:rPr>
        <w:t xml:space="preserve">Figure 10. </w:t>
      </w:r>
      <w:r>
        <w:t>Literature-derived global context. Circle size represents approximate Neanderthal ancestry and color intensity represents approximate Denisovan ancestry. Values were not used in the pairwise statistical models.</w:t>
      </w:r>
    </w:p>
    <w:p>
      <w:pPr>
        <w:pStyle w:val="Heading1"/>
      </w:pPr>
      <w:r>
        <w:t>Discussion</w:t>
      </w:r>
    </w:p>
    <w:p>
      <w:pPr>
        <w:ind w:firstLine="432"/>
      </w:pPr>
      <w:r>
        <w:rPr>
          <w:rFonts w:ascii="Times New Roman" w:hAnsi="Times New Roman"/>
          <w:i w:val="0"/>
          <w:sz w:val="24"/>
        </w:rPr>
        <w:t>After correction of the population-frequency construction, both Neanderthal and Denisovan profile similarities retained negative geographic associations. The result is therefore not an artifact of allowing fragmented segments to contribute repeatedly to the same haplotype-window. The revised estimates are used throughout the manuscript and submission materials.</w:t>
      </w:r>
    </w:p>
    <w:p>
      <w:pPr>
        <w:ind w:firstLine="432"/>
      </w:pPr>
      <w:r>
        <w:rPr>
          <w:rFonts w:ascii="Times New Roman" w:hAnsi="Times New Roman"/>
          <w:i w:val="0"/>
          <w:sz w:val="24"/>
        </w:rPr>
        <w:t>The population-label permutation is central to interpretation. A dataset of 2,145 pairs does not contain 2,145 independent geographic comparisons because each of 66 populations appears repeatedly. QAP preserves the complete matrix while testing whether the observed distance coefficient is unusual under population relabeling (Krackhardt 1988; Dekker, Krackhardt, and Snijders 2007). The expanded-model R-squared values remain descriptive; coarse same-continent, recent-admixture, and dataset indicators should not be read as causal adjustment.</w:t>
      </w:r>
    </w:p>
    <w:p>
      <w:pPr>
        <w:ind w:firstLine="432"/>
      </w:pPr>
      <w:r>
        <w:rPr>
          <w:rFonts w:ascii="Times New Roman" w:hAnsi="Times New Roman"/>
          <w:i w:val="0"/>
          <w:sz w:val="24"/>
        </w:rPr>
        <w:t>The distance-decay signal is compatible with broad serial demographic structure and the spatial patterning of introgressed sequence described in earlier work (Sankararaman et al. 2014; Sankararaman et al. 2016; Quilodran et al. 2023). It does not identify the timing, direction, or number of migration or introgression events. Population coordinates are approximations, and archaic-call similarity can also reflect callability, allele-frequency differences, linkage, selection, and reference-panel composition.</w:t>
      </w:r>
    </w:p>
    <w:p>
      <w:pPr>
        <w:ind w:firstLine="432"/>
      </w:pPr>
      <w:r>
        <w:rPr>
          <w:rFonts w:ascii="Times New Roman" w:hAnsi="Times New Roman"/>
          <w:i w:val="0"/>
          <w:sz w:val="24"/>
        </w:rPr>
        <w:t>The absence of FDR-supported residual outliers constrains the strongest historical claims. A highly ranked pair cannot be promoted as evidence for a special connection when its pair-specific permutation result does not survive the declared testing family. This is especially important for admixed American populations, for which recent mixture can alter both inferred archaic profiles and geographic interpretations.</w:t>
      </w:r>
    </w:p>
    <w:p>
      <w:pPr>
        <w:ind w:firstLine="432"/>
      </w:pPr>
      <w:r>
        <w:rPr>
          <w:rFonts w:ascii="Times New Roman" w:hAnsi="Times New Roman"/>
          <w:i w:val="0"/>
          <w:sz w:val="24"/>
        </w:rPr>
        <w:t>The ABO analysis illustrates the limits of a focal-locus narrative. ABO has deep allelic history, and selection can affect the persistence of introgressed sequence (Segurel et al. 2012; Petr et al. 2019). Nevertheless, an inferred segment in a 500-kb interval is not an ABO allele, closest-reference similarity is not a transmission path, and the O2-defining variant cannot be labeled Neanderthal-derived from proximity alone. The Pima and Maya observations are individual segment records, not population prevalence estimates.</w:t>
      </w:r>
    </w:p>
    <w:p>
      <w:pPr>
        <w:ind w:firstLine="432"/>
      </w:pPr>
      <w:r>
        <w:rPr>
          <w:rFonts w:ascii="Times New Roman" w:hAnsi="Times New Roman"/>
          <w:i w:val="0"/>
          <w:sz w:val="24"/>
        </w:rPr>
        <w:t>Published Ancient North Eurasian and multiple-founder models provide broader contexts for First American ancestry (Raghavan et al. 2014; Skoglund et al. 2015), but they do not validate a route for either ABO-window segment. Such a claim would require independently sampled ancient genomes, a phased local genealogy, method-matched calling, and explicit community-engaged governance for any new Indigenous genomic analysis.</w:t>
      </w:r>
    </w:p>
    <w:p>
      <w:pPr>
        <w:ind w:firstLine="432"/>
      </w:pPr>
      <w:r>
        <w:rPr>
          <w:rFonts w:ascii="Times New Roman" w:hAnsi="Times New Roman"/>
          <w:i w:val="0"/>
          <w:sz w:val="24"/>
        </w:rPr>
        <w:t>Limitations include modest sizes for several populations, sparse Denisovan calls outside Oceania, centroid-based distances, lack of a common callable mask, and correlation measures that do not distinguish identity by descent from identity by state. The dataset combines two projects, and same-dataset status only partially represents technical heterogeneity. Population-deletion and sensitivity analyses assess stability but cannot replace validation in independent modern and ancient data.</w:t>
      </w:r>
    </w:p>
    <w:p>
      <w:pPr>
        <w:ind w:firstLine="432"/>
      </w:pPr>
      <w:r>
        <w:rPr>
          <w:rFonts w:ascii="Times New Roman" w:hAnsi="Times New Roman"/>
          <w:i w:val="0"/>
          <w:sz w:val="24"/>
        </w:rPr>
        <w:t>In conclusion, population-level archaic-segment profiles show a broad geographic distance-decay pattern under dependence-aware permutation tests. The result supports a descriptive relationship between geography and the genomic distribution of inferred archaic segments. It does not establish an exceptional population pair, an ABO-mediated migration history, or a specific route through Beringia or island Southeast Asia.</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pPr>
        <w:pStyle w:val="Heading1"/>
      </w:pPr>
      <w:r>
        <w:t>Data Availability</w:t>
      </w:r>
    </w:p>
    <w:p>
      <w:r>
        <w:t>Analysis scripts, aggregate derived data, figures, and document-generation code are available at https://github.com/bougtoir/denisovan-archaic-dna-analysis and will be fixed as release ajba-critical-revision-2026-07 before submission. The source hmmix segment calls are available from Zenodo record 14136628 (https://doi.org/10.5281/zenodo.14136628). Raw-file SHA-256 checksums and all analysis parameters are included in analysis_provenance.json.</w:t>
      </w:r>
    </w:p>
    <w:p>
      <w:pPr>
        <w:pStyle w:val="Heading1"/>
      </w:pPr>
      <w:r>
        <w:t>Funding</w:t>
      </w:r>
    </w:p>
    <w:p>
      <w:r>
        <w:t>This research received no specific grant from any funding agency in the public, commercial, or not-for-profit sectors.</w:t>
      </w:r>
    </w:p>
    <w:p>
      <w:pPr>
        <w:pStyle w:val="Heading1"/>
      </w:pPr>
      <w:r>
        <w:t>Conflict of Interest</w:t>
      </w:r>
    </w:p>
    <w:p>
      <w:r>
        <w:t>The author declares no conflict of interest.</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generalized to communities, and are not used to assign migration routes. The public article, code, and aggregate derived results are the current means of results availability.</w:t>
      </w:r>
    </w:p>
    <w:p>
      <w:pPr>
        <w:pStyle w:val="Heading1"/>
      </w:pPr>
      <w:r>
        <w:t>Author Contributions</w:t>
      </w:r>
    </w:p>
    <w:p>
      <w:r>
        <w:t>Onishi Tatsuki: Conceptualization, methodology, formal analysis, visualization, writing—original draft, and writing—review and editing.</w:t>
      </w:r>
    </w:p>
    <w:p>
      <w:pPr>
        <w:pStyle w:val="Heading1"/>
      </w:pPr>
      <w:r>
        <w:t>Literature Cited</w:t>
      </w:r>
    </w:p>
    <w:p>
      <w:pPr>
        <w:spacing w:line="276" w:lineRule="auto" w:after="80"/>
        <w:ind w:hanging="360" w:left="360"/>
      </w:pPr>
      <w:r>
        <w:rPr>
          <w:sz w:val="20"/>
        </w:rPr>
        <w:t>1000 Genomes Project Consortium. 2015. “A Global Reference for Human Genetic Variation.” Nature 526 (7571): 68–74. https://doi.org/10.1038/nature15393.</w:t>
      </w:r>
    </w:p>
    <w:p>
      <w:pPr>
        <w:spacing w:line="276" w:lineRule="auto" w:after="80"/>
        <w:ind w:hanging="360" w:left="360"/>
      </w:pPr>
      <w:r>
        <w:rPr>
          <w:sz w:val="20"/>
        </w:rPr>
        <w:t>Benjamini, Yoav, and Yosef Hochberg. 1995. “Controlling the False Discovery Rate: A Practical and Powerful Approach to Multiple Testing.” Journal of the Royal Statistical Society: Series B 57 (1): 289–300. https://doi.org/10.1111/j.2517-6161.1995.tb02031.x.</w:t>
      </w:r>
    </w:p>
    <w:p>
      <w:pPr>
        <w:spacing w:line="276" w:lineRule="auto" w:after="80"/>
        <w:ind w:hanging="360" w:left="360"/>
      </w:pPr>
      <w:r>
        <w:rPr>
          <w:sz w:val="20"/>
        </w:rPr>
        <w:t>Bergström, Anders, Shane A. McCarthy, Ruoyun Hui, et al. 2020. “Insights into Human Genetic Variation and Population History from 929 Diverse Genomes.” Science 367 (6484): eaay5012. https://doi.org/10.1126/science.aay5012.</w:t>
      </w:r>
    </w:p>
    <w:p>
      <w:pPr>
        <w:spacing w:line="276" w:lineRule="auto" w:after="80"/>
        <w:ind w:hanging="360" w:left="360"/>
      </w:pPr>
      <w:r>
        <w:rPr>
          <w:sz w:val="20"/>
        </w:rPr>
        <w:t>Calafell, Francesc, Françoise Roubinet, Antonio Ramirez-Soriano, et al. 2008. “Evolutionary Dynamics of the Human ABO Gene.” Human Genetics 124 (2): 123–35. https://doi.org/10.1007/s00439-008-0530-8.</w:t>
      </w:r>
    </w:p>
    <w:p>
      <w:pPr>
        <w:spacing w:line="276" w:lineRule="auto" w:after="80"/>
        <w:ind w:hanging="360" w:left="360"/>
      </w:pPr>
      <w:r>
        <w:rPr>
          <w:sz w:val="20"/>
        </w:rPr>
        <w:t>Carroll, Stephanie Russo, Ibrahim Garba, Oscar L. Figueroa-Rodríguez, et al. 2020. “The CARE Principles for Indigenous Data Governance.” Data Science Journal 19: 43. https://doi.org/10.5334/dsj-2020-043.</w:t>
      </w:r>
    </w:p>
    <w:p>
      <w:pPr>
        <w:spacing w:line="276" w:lineRule="auto" w:after="80"/>
        <w:ind w:hanging="360" w:left="360"/>
      </w:pPr>
      <w:r>
        <w:rPr>
          <w:sz w:val="20"/>
        </w:rPr>
        <w:t>Claw, Katrina G., Dorothy Lippert, Jessica Bardill, et al. 2018. “A Framework for Enhancing Ethical Genomic Research with Indigenous Communities.” Nature Communications 9: 2957. https://doi.org/10.1038/s41467-018-05188-3.</w:t>
      </w:r>
    </w:p>
    <w:p>
      <w:pPr>
        <w:spacing w:line="276" w:lineRule="auto" w:after="80"/>
        <w:ind w:hanging="360" w:left="360"/>
      </w:pPr>
      <w:r>
        <w:rPr>
          <w:sz w:val="20"/>
        </w:rPr>
        <w:t>Condemi, Silvana, Amandine Mazières, Pascal Faux, et al. 2021. “Blood Groups of Neandertals and Denisova Decrypted.” PLOS ONE 16 (7): e0254175. https://doi.org/10.1371/journal.pone.0254175.</w:t>
      </w:r>
    </w:p>
    <w:p>
      <w:pPr>
        <w:spacing w:line="276" w:lineRule="auto" w:after="80"/>
        <w:ind w:hanging="360" w:left="360"/>
      </w:pPr>
      <w:r>
        <w:rPr>
          <w:sz w:val="20"/>
        </w:rPr>
        <w:t>Dekker, David, David Krackhardt, and Tom A. B. Snijders. 2007. “Sensitivity of MRQAP Tests to Collinearity and Autocorrelation Conditions.” Psychometrika 72: 563–81. https://doi.org/10.1007/s11336-007-9016-1.</w:t>
      </w:r>
    </w:p>
    <w:p>
      <w:pPr>
        <w:spacing w:line="276" w:lineRule="auto" w:after="80"/>
        <w:ind w:hanging="360" w:left="360"/>
      </w:pPr>
      <w:r>
        <w:rPr>
          <w:sz w:val="20"/>
        </w:rPr>
        <w:t>Green, Richard E., Johannes Krause, Adrian W. Briggs, et al. 2010. “A Draft Sequence of the Neandertal Genome.” Science 328 (5979): 710–22. https://doi.org/10.1126/science.1188021.</w:t>
      </w:r>
    </w:p>
    <w:p>
      <w:pPr>
        <w:spacing w:line="276" w:lineRule="auto" w:after="80"/>
        <w:ind w:hanging="360" w:left="360"/>
      </w:pPr>
      <w:r>
        <w:rPr>
          <w:sz w:val="20"/>
        </w:rPr>
        <w:t>Halverson, Melissa S., and Deborah A. Bolnick. 2008. “An Ancient DNA Test of a Founder Effect in Native American ABO Blood Group Frequencies.” American Journal of Physical Anthropology 137 (3): 342–47. https://doi.org/10.1002/ajpa.20887.</w:t>
      </w:r>
    </w:p>
    <w:p>
      <w:pPr>
        <w:spacing w:line="276" w:lineRule="auto" w:after="80"/>
        <w:ind w:hanging="360" w:left="360"/>
      </w:pPr>
      <w:r>
        <w:rPr>
          <w:sz w:val="20"/>
        </w:rPr>
        <w:t>Iasi, Leonardo N. M., Manjusha Chintalapati, Laurits Skov, et al. 2024. “Neanderthal Ancestry through Time: Insights from Genomes of Ancient and Present-Day Humans.” Science 386 (6727): eadq3010. https://doi.org/10.1126/science.adq3010.</w:t>
      </w:r>
    </w:p>
    <w:p>
      <w:pPr>
        <w:spacing w:line="276" w:lineRule="auto" w:after="80"/>
        <w:ind w:hanging="360" w:left="360"/>
      </w:pPr>
      <w:r>
        <w:rPr>
          <w:sz w:val="20"/>
        </w:rPr>
        <w:t>Jacobs, Guy S., Georgi Hudjashov, Lauri Saag, et al. 2019. “Multiple Deeply Divergent Denisovan Ancestries in Papuans.” Cell 177 (4): 1010–21.e32. https://doi.org/10.1016/j.cell.2019.02.035.</w:t>
      </w:r>
    </w:p>
    <w:p>
      <w:pPr>
        <w:spacing w:line="276" w:lineRule="auto" w:after="80"/>
        <w:ind w:hanging="360" w:left="360"/>
      </w:pPr>
      <w:r>
        <w:rPr>
          <w:sz w:val="20"/>
        </w:rPr>
        <w:t>Krackhardt, David. 1988. “Predicting with Networks: Nonparametric Multiple Regression Analysis of Dyadic Data.” Social Networks 10 (4): 359–81. https://doi.org/10.1016/0378-8733(88)90004-4.</w:t>
      </w:r>
    </w:p>
    <w:p>
      <w:pPr>
        <w:spacing w:line="276" w:lineRule="auto" w:after="80"/>
        <w:ind w:hanging="360" w:left="360"/>
      </w:pPr>
      <w:r>
        <w:rPr>
          <w:sz w:val="20"/>
        </w:rPr>
        <w:t>Ohashi, Jun, Izumi Naka, Ryosuke Kimura, et al. 2006. “Polymorphisms in the ABO Blood Group Gene in Three Populations in the New Georgia Group of the Solomon Islands.” Journal of Human Genetics 51 (5): 407–11. https://doi.org/10.1007/s10038-006-0375-8.</w:t>
      </w:r>
    </w:p>
    <w:p>
      <w:pPr>
        <w:spacing w:line="276" w:lineRule="auto" w:after="80"/>
        <w:ind w:hanging="360" w:left="360"/>
      </w:pPr>
      <w:r>
        <w:rPr>
          <w:sz w:val="20"/>
        </w:rPr>
        <w:t>Petr, Martin, Svante Pääbo, Janet Kelso, and Benjamin Vernot. 2019. “Limits of Long-Term Selection against Neandertal Introgression.” Proceedings of the National Academy of Sciences 116 (5): 1639–44. https://doi.org/10.1073/pnas.1814338116.</w:t>
      </w:r>
    </w:p>
    <w:p>
      <w:pPr>
        <w:spacing w:line="276" w:lineRule="auto" w:after="80"/>
        <w:ind w:hanging="360" w:left="360"/>
      </w:pPr>
      <w:r>
        <w:rPr>
          <w:sz w:val="20"/>
        </w:rPr>
        <w:t>Prüfer, Kay, Cesare de Filippo, Steffi Grote, et al. 2017. “A High-Coverage Neandertal Genome from Vindija Cave in Croatia.” Science 358 (6363): 655–58. https://doi.org/10.1126/science.aao1887.</w:t>
      </w:r>
    </w:p>
    <w:p>
      <w:pPr>
        <w:spacing w:line="276" w:lineRule="auto" w:after="80"/>
        <w:ind w:hanging="360" w:left="360"/>
      </w:pPr>
      <w:r>
        <w:rPr>
          <w:sz w:val="20"/>
        </w:rPr>
        <w:t>Quilodran, Claudio S., Julie Rio, Athanasios Tsoupas, and Mathias Currat. 2023. “Past Human Expansions Shaped the Spatial Pattern of Neanderthal Ancestry.” Science Advances 9 (42): eadg9817. https://doi.org/10.1126/sciadv.adg9817.</w:t>
      </w:r>
    </w:p>
    <w:p>
      <w:pPr>
        <w:spacing w:line="276" w:lineRule="auto" w:after="80"/>
        <w:ind w:hanging="360" w:left="360"/>
      </w:pPr>
      <w:r>
        <w:rPr>
          <w:sz w:val="20"/>
        </w:rPr>
        <w:t>Raghavan, Maanasa, Pontus Skoglund, Kelly E. Graf, et al. 2014. “Upper Palaeolithic Siberian Genome Reveals Dual Ancestry of Native Americans.” Nature 505 (7481): 87–91. https://doi.org/10.1038/nature12736.</w:t>
      </w:r>
    </w:p>
    <w:p>
      <w:pPr>
        <w:spacing w:line="276" w:lineRule="auto" w:after="80"/>
        <w:ind w:hanging="360" w:left="360"/>
      </w:pPr>
      <w:r>
        <w:rPr>
          <w:sz w:val="20"/>
        </w:rPr>
        <w:t>Reich, David, Richard E. Green, Martin Kircher, et al. 2010. “Genetic History of an Archaic Hominin Group from Denisova Cave in Siberia.” Nature 468 (7327): 1053–60. https://doi.org/10.1038/nature09710.</w:t>
      </w:r>
    </w:p>
    <w:p>
      <w:pPr>
        <w:spacing w:line="276" w:lineRule="auto" w:after="80"/>
        <w:ind w:hanging="360" w:left="360"/>
      </w:pPr>
      <w:r>
        <w:rPr>
          <w:sz w:val="20"/>
        </w:rPr>
        <w:t>Sankararaman, Sriram, Swapan Mallick, Michael Dannemann, et al. 2014. “The Genomic Landscape of Neanderthal Ancestry in Present-Day Humans.” Nature 507 (7492): 354–57. https://doi.org/10.1038/nature12961.</w:t>
      </w:r>
    </w:p>
    <w:p>
      <w:pPr>
        <w:spacing w:line="276" w:lineRule="auto" w:after="80"/>
        <w:ind w:hanging="360" w:left="360"/>
      </w:pPr>
      <w:r>
        <w:rPr>
          <w:sz w:val="20"/>
        </w:rPr>
        <w:t>Sankararaman, Sriram, Swapan Mallick, Nick Patterson, and David Reich. 2016. “The Combined Landscape of Denisovan and Neanderthal Ancestry in Present-Day Humans.” Current Biology 26 (9): 1241–47. https://doi.org/10.1016/j.cub.2016.03.037.</w:t>
      </w:r>
    </w:p>
    <w:p>
      <w:pPr>
        <w:spacing w:line="276" w:lineRule="auto" w:after="80"/>
        <w:ind w:hanging="360" w:left="360"/>
      </w:pPr>
      <w:r>
        <w:rPr>
          <w:sz w:val="20"/>
        </w:rPr>
        <w:t>Segurel, Laure, Emma E. Thompson, Timothée Flutre, et al. 2012. “The ABO Blood Group Is a Trans-Species Polymorphism in Primates.” Proceedings of the National Academy of Sciences 109 (45): 18493–98. https://doi.org/10.1073/pnas.1210603109.</w:t>
      </w:r>
    </w:p>
    <w:p>
      <w:pPr>
        <w:spacing w:line="276" w:lineRule="auto" w:after="80"/>
        <w:ind w:hanging="360" w:left="360"/>
      </w:pPr>
      <w:r>
        <w:rPr>
          <w:sz w:val="20"/>
        </w:rPr>
        <w:t>Skoglund, Pontus, Swapan Mallick, Maria Cátira Bortolini, et al. 2015. “Genetic Evidence for Two Founding Populations of the Americas.” Nature 525 (7567): 104–8. https://doi.org/10.1038/nature14895.</w:t>
      </w:r>
    </w:p>
    <w:p>
      <w:pPr>
        <w:spacing w:line="276" w:lineRule="auto" w:after="80"/>
        <w:ind w:hanging="360" w:left="360"/>
      </w:pPr>
      <w:r>
        <w:rPr>
          <w:sz w:val="20"/>
        </w:rPr>
        <w:t>Skov, Laurits, Ruoyun Hui, Vladimir Shchur, et al. 2018. “Detecting Archaic Introgression Using an Unadmixed Outgroup.” PLOS Genetics 14 (9): e1007641. https://doi.org/10.1371/journal.pgen.1007641.</w:t>
      </w:r>
    </w:p>
    <w:p>
      <w:pPr>
        <w:spacing w:line="276" w:lineRule="auto" w:after="80"/>
        <w:ind w:hanging="360" w:left="360"/>
      </w:pPr>
      <w:r>
        <w:rPr>
          <w:sz w:val="20"/>
        </w:rPr>
        <w:t>Turner, Trudy R. 2025. “Changes to Submissions to the AJBA.” American Journal of Biological Anthropology 186: e70026. https://doi.org/10.1002/ajpa.70026.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distance decay in population-level Neanderthal and Denisovan segment profiles</dc:title>
  <dc:subject/>
  <dc:creator>Onishi Tatsuki</dc:creator>
  <cp:keywords/>
  <dc:description>generated by python-docx</dc:description>
  <cp:lastModifiedBy/>
  <cp:revision>1</cp:revision>
  <dcterms:created xsi:type="dcterms:W3CDTF">2013-12-23T23:15:00Z</dcterms:created>
  <dcterms:modified xsi:type="dcterms:W3CDTF">2013-12-23T23:15:00Z</dcterms:modified>
  <cp:category/>
</cp:coreProperties>
</file>