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larger for open-air users—motorcyclists, RR 2.141 (2.000-2.292); pedestrians, RR 1.213 (1.145-1.286); and cyclists, RR 1.237 (1.032-1.484)—a gradient consistent with direct bodily heat exposure and physical exertion,</w:t>
      </w:r>
      <w:r>
        <w:rPr>
          <w:vertAlign w:val="superscript"/>
        </w:rPr>
        <w:t>13</w:t>
      </w:r>
      <w:r>
        <w:t xml:space="preserve"> though it could also partly reflect greater discretionary open-air travel (motorcycling, cycling, walking) on hotter-than-normal days, which our aggregate activity proxies do not capture by mode. Across age bands the excess was of similar size: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road-user, age and time-of-day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are consistent with a direct heat effect rather than confounding by overall driving volume. The excess was graded by bodily heat exposure—minimal for enclosed, frequently air-conditioned vehicle occupants but several-fold larger for motorcyclists, pedestrians and cyclists, who are directly exposed and often physically exerting—and it was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