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単一の国民皆保険制度内においても疼痛関連処方に地域差が存在する可能性があるが、その規模と決定因子は日本では十分に解明されていない。処方差が症状負荷の差（warranted variation）を反映するのか、診療パターンの差（unwarranted variation）なのかは未検討である。</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CSLC有訴者率は1.29倍の差に留まり、処方との相関は認められなかった（r=0.03）。</w:t>
      </w:r>
    </w:p>
    <w:p>
      <w:r>
        <w:rPr>
          <w:b/>
        </w:rPr>
        <w:t xml:space="preserve">結論: </w:t>
      </w:r>
      <w:r>
        <w:t>年齢・性別標準化後も約2倍の国内差が持続し、症状負荷と乖離していた。これはWennbergの不当な差異の基準を満たし、供給側要因が処方の不均一性を駆動していること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1,2</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4</w:t>
      </w:r>
      <w:r>
        <w:t>慢性疼痛有病率の1.6倍の地域差</w:t>
      </w:r>
      <w:r>
        <w:rPr>
          <w:sz w:val="20"/>
          <w:vertAlign w:val="superscript"/>
        </w:rPr>
        <w:t>5</w:t>
      </w:r>
      <w:r>
        <w:t>や、がんオピオイド処方の4倍差</w:t>
      </w:r>
      <w:r>
        <w:rPr>
          <w:sz w:val="20"/>
          <w:vertAlign w:val="superscript"/>
        </w:rPr>
        <w:t>6</w:t>
      </w:r>
      <w:r>
        <w:t>も報告されているが、NDBを用いて47都道府県の疼痛関連処方差を包括的にマッピングした研究はない。</w:t>
      </w:r>
    </w:p>
    <w:p>
      <w:r>
        <w:t>Wennbergの枠組みは、疾病負荷の違いに起因する正当な差異（warranted variation）と、医師の診療スタイルや地域規範等の供給側要因に起因する不当な差異（unwarranted variation）を区別する。</w:t>
      </w:r>
      <w:r>
        <w:rPr>
          <w:sz w:val="20"/>
          <w:vertAlign w:val="superscript"/>
        </w:rPr>
        <w:t>1,2</w:t>
      </w:r>
      <w:r>
        <w:t>この枠組みを適用するには、独立した需要側ベンチマークが必要である。国民生活基礎調査（CSLC）は、厚生労働省が実施する全国代表世帯調査であり、都道府県別の自覚症状有訴者率を提供している。</w:t>
      </w:r>
      <w:r>
        <w:rPr>
          <w:sz w:val="20"/>
          <w:vertAlign w:val="superscript"/>
        </w:rPr>
        <w:t>7</w:t>
      </w:r>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4つである：(1)47都道府県における急性周術期鎮痛薬処方の地域差をマッピングすること、(2)交絡疾患を調整した上で、外来神経障害性疼痛薬処方を慢性疼痛の代理指標として検討すること、(3)見かけの地域パターンに対する交絡因子の寄与を定量化すること、(4)処方差異が症状負荷と乖離しているか（＝不当な差異の基準を満たすか）を評価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8</w:t>
      </w:r>
      <w:r>
        <w:t>およびRECORD拡張</w:t>
      </w:r>
      <w:r>
        <w:rPr>
          <w:sz w:val="20"/>
          <w:vertAlign w:val="superscript"/>
        </w:rPr>
        <w:t>9</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需要側ベンチマーク：国民生活基礎調査</w:t>
      </w:r>
    </w:p>
    <w:p>
      <w:r>
        <w:t>都道府県別の自覚症状有訴者率を国民生活基礎調査（CSLC）2022年版から取得した。</w:t>
      </w:r>
      <w:r>
        <w:rPr>
          <w:sz w:val="20"/>
          <w:vertAlign w:val="superscript"/>
        </w:rPr>
        <w:t>7</w:t>
      </w:r>
      <w:r>
        <w:t>CSLCは約30万世帯を対象とする全国代表世帯調査であり、有訴者率（人口千対）が47都道府県について公表されている。自覚症状有訴者率は、全国的に筋骨格系疼痛（腰痛・肩こり）が最多であるため、疼痛関連需要の生態学的プロキシとして使用した。需要–供給ミスマッチ指数は、z標準化した処方率とz標準化した有訴者率の差として算出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4</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需要–供給の乖離</w:t>
      </w:r>
    </w:p>
    <w:p>
      <w:r>
        <w:t>CSLC有訴者率は244.0（東京都）から314.9（兵庫県）（人口千対）の範囲であり、1.29倍の差であった（平均287.4、SD 17.7）。一方、急性鎮痛薬処方は1.97倍、年齢・性別標準化後の神経障害性疼痛薬処方は2.0倍の差があり、処方の不均一性は症状負荷の差を大幅に上回っていた。</w:t>
      </w:r>
    </w:p>
    <w:p>
      <w:r>
        <w:t>CSLC有訴者率は急性鎮痛薬処方と有意な相関を示さなかった（r=0.029, P=0.846; Spearman ρ=-0.032, P=0.829; 図4）。人口あたり神経障害性疼痛薬処方との相関も認められなかった（r=0.076, P=0.610）。相関の欠如は、処方差異が都道府県間の症状負荷の違いでは説明できないことを示す。</w:t>
      </w:r>
    </w:p>
    <w:p>
      <w:pPr>
        <w:spacing w:before="360" w:after="120"/>
        <w:jc w:val="center"/>
      </w:pPr>
      <w:r>
        <w:drawing>
          <wp:inline xmlns:a="http://schemas.openxmlformats.org/drawingml/2006/main" xmlns:pic="http://schemas.openxmlformats.org/drawingml/2006/picture">
            <wp:extent cx="5029200" cy="3504687"/>
            <wp:docPr id="4" name="Picture 4"/>
            <wp:cNvGraphicFramePr>
              <a:graphicFrameLocks noChangeAspect="1"/>
            </wp:cNvGraphicFramePr>
            <a:graphic>
              <a:graphicData uri="http://schemas.openxmlformats.org/drawingml/2006/picture">
                <pic:pic>
                  <pic:nvPicPr>
                    <pic:cNvPr id="0" name="fig_cslc_demand_supply_ja.png"/>
                    <pic:cNvPicPr/>
                  </pic:nvPicPr>
                  <pic:blipFill>
                    <a:blip r:embed="rId13"/>
                    <a:stretch>
                      <a:fillRect/>
                    </a:stretch>
                  </pic:blipFill>
                  <pic:spPr>
                    <a:xfrm>
                      <a:off x="0" y="0"/>
                      <a:ext cx="5029200" cy="3504687"/>
                    </a:xfrm>
                    <a:prstGeom prst="rect"/>
                  </pic:spPr>
                </pic:pic>
              </a:graphicData>
            </a:graphic>
          </wp:inline>
        </w:drawing>
      </w:r>
    </w:p>
    <w:p>
      <w:pPr>
        <w:spacing w:before="120" w:after="240"/>
      </w:pPr>
      <w:r>
        <w:rPr>
          <w:b/>
          <w:sz w:val="20"/>
        </w:rPr>
        <w:t xml:space="preserve">図4. </w:t>
      </w:r>
      <w:r>
        <w:rPr>
          <w:sz w:val="20"/>
        </w:rPr>
        <w:t>需要–供給の乖離：CSLC有訴者率（人口千対）と急性鎮痛薬処方（手術あたり）。各点は1都道府県を示し、地域ブロック別に色分け。相関の欠如（r=0.03）は処方差異が症状負荷と乖離していることを示す。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り、独立した需要側指標との対照によりWennbergの不当な差異の基準を満たすか否かを正式に評価した初めての研究でもある。4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4</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第三に、最も新規性の高い知見として、処方差異が症状負荷と乖離していた。CSLC有訴者率は1.29倍の差に留まり、鎮痛薬処方との相関は認められなかった（r=0.03, P=0.85）。この乖離はWennbergの枠組みにおける不当な差異の基準を正式に満たす：</w:t>
      </w:r>
      <w:r>
        <w:rPr>
          <w:sz w:val="20"/>
          <w:vertAlign w:val="superscript"/>
        </w:rPr>
        <w:t>1</w:t>
      </w:r>
      <w:r>
        <w:t>供給側（処方）が需要側（症状負荷）と独立して変動しており、疾病負荷ではなく診療パターンが不均一性を駆動していることを示す。この知見はOECD諸国で報告されている供給感応的医療差異と一致する。</w:t>
      </w:r>
      <w:r>
        <w:rPr>
          <w:sz w:val="20"/>
          <w:vertAlign w:val="superscript"/>
        </w:rPr>
        <w:t>2</w:t>
      </w:r>
      <w:r/>
    </w:p>
    <w:p>
      <w:r>
        <w:t>第四に、急性と交絡調整後慢性指数の正の相関（r=0.29,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10</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11</w:t>
      </w:r>
      <w:r>
        <w:t>は人種・民族による系統的格差を示し、CampbellとEdwards</w:t>
      </w:r>
      <w:r>
        <w:rPr>
          <w:sz w:val="20"/>
          <w:vertAlign w:val="superscript"/>
        </w:rPr>
        <w:t>12</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13,14</w:t>
      </w:r>
      <w:r>
        <w:t>本データは、この均質とされる集団内でさえ処方パターンが約2倍異なることを示した。ファイザー2017年調査でも、「治療せずに痛みを我慢している」慢性疼痛患者の割合は都道府県間で48.7%（大阪）から81.6%（山梨）まで異なり、秋田県（東北地方）は痛みを「我慢すべき」と回答した割合が全国最低（60.2%）であり、文化的ステレオタイプとは矛盾する結果であった。</w:t>
      </w:r>
      <w:r>
        <w:rPr>
          <w:sz w:val="20"/>
          <w:vertAlign w:val="superscript"/>
        </w:rPr>
        <w:t>15</w:t>
      </w:r>
      <w:r/>
    </w:p>
    <w:p>
      <w:r>
        <w:t>改定IASP定義は疼痛を本質的に主観的なものと記述している。</w:t>
      </w:r>
      <w:r>
        <w:rPr>
          <w:sz w:val="20"/>
          <w:vertAlign w:val="superscript"/>
        </w:rPr>
        <w:t>16</w:t>
      </w:r>
      <w:r>
        <w:t>地域ラベルや文化的一般化は個別化疼痛評価の代替にはならない。客観的侵害受容モニタリングが周術期評価の標準化に貢献しうる。</w:t>
      </w:r>
      <w:r>
        <w:rPr>
          <w:sz w:val="20"/>
          <w:vertAlign w:val="superscript"/>
        </w:rPr>
        <w:t>17</w:t>
      </w:r>
      <w:r>
        <w:t>需要–供給分析もこの点を補強する：同等の症状負荷を持つ都道府県でも処方が大きく異なり、患者の需要ではなく臨床家の要因が治療強度を決定していることを示す。</w:t>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医療アクセスを交絡因子として中和する周術期デザイン、およびNDB処方データと独立した世帯調査（CSLC）との需要–供給分析のトライアンギュレーショ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CSLCの有訴者率は疼痛に特異的ではなく自覚症状全般の指標であるが、全国的に筋骨格系疼痛症状（腰痛・肩こり）が最多の訴えであり、疼痛関連需要の合理的な生態学的プロキシとして機能する。</w:t>
      </w:r>
    </w:p>
    <w:p>
      <w:pPr>
        <w:pStyle w:val="Heading2"/>
      </w:pPr>
      <w:r>
        <w:rPr>
          <w:rFonts w:ascii="Yu Gothic" w:hAnsi="Yu Gothic"/>
          <w:color w:val="000000"/>
        </w:rPr>
        <w:t>結論</w:t>
      </w:r>
    </w:p>
    <w:p>
      <w:r>
        <w:t>日本の47都道府県において、疼痛関連処方は年齢・性別標準化後も約2倍の差が持続し、症状負荷と乖離していた。このパターンはWennbergの不当な差異の基準を満たし、供給側要因が処方の不均一性を駆動していることを示唆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Corallo AN, Croxford R, Goodman DC, et al. A systematic review of medical practice variation in OECD countries. Health Policy. 2014;114:5–14.</w:t>
      </w:r>
    </w:p>
    <w:p>
      <w:r>
        <w:rPr>
          <w:b/>
        </w:rPr>
        <w:t xml:space="preserve">3. </w:t>
      </w:r>
      <w:r>
        <w:t>厚生労働省. NDBオープンデータ 第10回. https://www.mhlw.go.jp/stf/seisakunitsuite/bunya/0000177221_00016.html. 2025年1月15日アクセス.</w:t>
      </w:r>
    </w:p>
    <w:p>
      <w:r>
        <w:rPr>
          <w:b/>
        </w:rPr>
        <w:t xml:space="preserve">4. </w:t>
      </w:r>
      <w:r>
        <w:t>Taira K, Mori T, Ishimaru M, et al. Regional inequality in dental care utilisation in Japan: an ecological study using the National Database of Health Insurance Claims. Lancet Reg Health West Pac. 2021;12:100170.</w:t>
      </w:r>
    </w:p>
    <w:p>
      <w:r>
        <w:rPr>
          <w:b/>
        </w:rPr>
        <w:t xml:space="preserve">5. </w:t>
      </w:r>
      <w:r>
        <w:t>Wakaizumi K, Tanaka C, Shinohara Y, et al. Geographical variation in high-impact chronic pain and psychological associations at the regional level. Front Public Health. 2024;12:1482177.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w:t>
      </w:r>
    </w:p>
    <w:p>
      <w:r>
        <w:rPr>
          <w:b/>
        </w:rPr>
        <w:t xml:space="preserve">7. </w:t>
      </w:r>
      <w:r>
        <w:t>厚生労働省. 国民生活基礎調査（2022年）. https://www.mhlw.go.jp/toukei/saikin/hw/k-tyosa/k-tyosa22/. 2025年3月1日アクセス.</w:t>
      </w:r>
    </w:p>
    <w:p>
      <w:r>
        <w:rPr>
          <w:b/>
        </w:rPr>
        <w:t xml:space="preserve">8. </w:t>
      </w:r>
      <w:r>
        <w:t>von Elm E, Altman DG, Egger M, et al. The STROBE statement: guidelines for reporting observational studies. Lancet. 2007;370:1453–7.</w:t>
      </w:r>
    </w:p>
    <w:p>
      <w:r>
        <w:rPr>
          <w:b/>
        </w:rPr>
        <w:t xml:space="preserve">9. </w:t>
      </w:r>
      <w:r>
        <w:t>Benchimol EI, Smeeth L, Guttmann A, et al. The RECORD statement. PLoS Med. 2015;12:e1001885.</w:t>
      </w:r>
    </w:p>
    <w:p>
      <w:r>
        <w:rPr>
          <w:b/>
        </w:rPr>
        <w:t xml:space="preserve">10. </w:t>
      </w:r>
      <w:r>
        <w:t>Kehlet H, Jensen TS, Woolf CJ. Persistent postsurgical pain: risk factors and prevention. Lancet. 2006;367:1618–25.</w:t>
      </w:r>
    </w:p>
    <w:p>
      <w:r>
        <w:rPr>
          <w:b/>
        </w:rPr>
        <w:t xml:space="preserve">11. </w:t>
      </w:r>
      <w:r>
        <w:t>Anderson KO, Green CR, Payne R. Racial and ethnic disparities in pain. J Pain. 2009;10:1187–204.</w:t>
      </w:r>
    </w:p>
    <w:p>
      <w:r>
        <w:rPr>
          <w:b/>
        </w:rPr>
        <w:t xml:space="preserve">12. </w:t>
      </w:r>
      <w:r>
        <w:t>Campbell CM, Edwards RR. Ethnic differences in pain and pain management. Pain Manag. 2012;2:219–30.</w:t>
      </w:r>
    </w:p>
    <w:p>
      <w:r>
        <w:rPr>
          <w:b/>
        </w:rPr>
        <w:t xml:space="preserve">13. </w:t>
      </w:r>
      <w:r>
        <w:t>Callister LC. Cultural influences on pain perceptions and behaviors. Home Health Care Manag Pract. 2003;15:207–11.</w:t>
      </w:r>
    </w:p>
    <w:p>
      <w:r>
        <w:rPr>
          <w:b/>
        </w:rPr>
        <w:t xml:space="preserve">14. </w:t>
      </w:r>
      <w:r>
        <w:t>Hobara M. Beliefs about appropriate pain behavior: cross-cultural and sex differences between Japanese and Euro-Americans. Eur J Pain. 2005;9:389–93.</w:t>
      </w:r>
    </w:p>
    <w:p>
      <w:r>
        <w:rPr>
          <w:b/>
        </w:rPr>
        <w:t xml:space="preserve">15. </w:t>
      </w:r>
      <w:r>
        <w:t>ファイザー株式会社. 47都道府県 長く続く痛みに関する実態調査（2012年 vs 2017年比較）. https://www.pfizer.co.jp/pfizer/company/press/2017/2017_08_23.html. 2022年5月28日アクセス. アーカイブ: https://web.archive.org/web/20220528073616/https://www.pfizer.co.jp/pfizer/company/press/2017/2017_08_23.html</w:t>
      </w:r>
    </w:p>
    <w:p>
      <w:r>
        <w:rPr>
          <w:b/>
        </w:rPr>
        <w:t xml:space="preserve">16. </w:t>
      </w:r>
      <w:r>
        <w:t>Raja SN, Carr DB, Cohen M, et al. The revised IASP definition of pain. Pain. 2020;161:1976–82.</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