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Japan maintains two independent national incident series—occurrence-based mandatory reports and malpractice litigation statistics—but no multi-specialty test of predictive causality between these series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mandatory safety reports (2015–2025) and malpractice litigation statistics (2004–2023), paired with physician and facility counts from national surveys. Granger causality F-tests, impulse response functions, and VAR-based forecasts were computed. Sensitivity analyses assessed the independence and interaction of the two incident sources.</w:t>
      </w:r>
    </w:p>
    <w:p>
      <w:pPr>
        <w:spacing w:line="480" w:lineRule="auto" w:after="120"/>
      </w:pPr>
      <w:r>
        <w:rPr>
          <w:rFonts w:ascii="Times New Roman" w:hAnsi="Times New Roman"/>
          <w:b/>
          <w:sz w:val="24"/>
        </w:rPr>
        <w:t xml:space="preserve">Results: </w:t>
      </w:r>
      <w:r>
        <w:rPr>
          <w:rFonts w:ascii="Times New Roman" w:hAnsi="Times New Roman"/>
          <w:b w:val="0"/>
          <w:i w:val="0"/>
          <w:sz w:val="24"/>
        </w:rPr>
        <w:t>Litigation-based models showed significant forward Granger causality in 18 of 24 tests; obstetrics and gynaecology had the strongest association (F = 46.66, P &lt; 0.001). Bidirectional causality emerged in 7 specialty–outcome pairs. A litigation shock depressed physician supply for 3–5 years. Occurrence and litigation counts were weakly correlated (median |r| = 0.23), and their interaction was non-significant, indicating additive, independent effects on workforce decline.</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through two independent pathways. Because litigation is largely independent of incident occurrence, early dispute resolution may attenuate workforce loss without requiring a reduction in incident rates.</w:t>
      </w:r>
    </w:p>
    <w:p>
      <w:pPr>
        <w:spacing w:after="360" w:line="480" w:lineRule="auto"/>
      </w:pPr>
      <w:r>
        <w:rPr>
          <w:rFonts w:ascii="Times New Roman" w:hAnsi="Times New Roman"/>
          <w:b w:val="0"/>
          <w:i/>
          <w:sz w:val="24"/>
        </w:rPr>
        <w:t>Key words: physician workforce, Granger causality, medical safety incidents, specialty maldistribution, dispute resolution,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5,6</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7</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8</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9,10</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11–13</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 Because the two incident series differ in construction (occurrence vs. adjudicated claims), we additionally examine whether they act as independent or interacting predictors of workforce change.</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STROBE (Strengthening the Reporting of Observational Studies in Epidemiology) statement for cross-sectional studies.</w:t>
      </w:r>
      <w:r>
        <w:rPr>
          <w:rFonts w:ascii="Times New Roman" w:hAnsi="Times New Roman"/>
          <w:b w:val="0"/>
          <w:i w:val="0"/>
          <w:sz w:val="20"/>
          <w:vertAlign w:val="superscript"/>
        </w:rPr>
        <w:t>14</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8</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9</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15</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16</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17</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18</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19</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20</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Sensitivity and source-independence analyses</w:t>
      </w:r>
    </w:p>
    <w:p>
      <w:pPr>
        <w:spacing w:after="120" w:line="480" w:lineRule="auto"/>
      </w:pPr>
      <w:r>
        <w:rPr>
          <w:rFonts w:ascii="Times New Roman" w:hAnsi="Times New Roman"/>
          <w:b w:val="0"/>
          <w:i w:val="0"/>
          <w:sz w:val="24"/>
        </w:rPr>
        <w:t>To assess whether the disparity in significant models between litigation and JMSR reflected series length rather than intrinsic differences, litigation data were restricted to the 2015–2023 window (9 years) overlapping with the JMSR period and the Granger tests were repeated.</w:t>
      </w:r>
    </w:p>
    <w:p>
      <w:pPr>
        <w:spacing w:after="120" w:line="480" w:lineRule="auto"/>
      </w:pPr>
      <w:r>
        <w:rPr>
          <w:rFonts w:ascii="Times New Roman" w:hAnsi="Times New Roman"/>
          <w:b w:val="0"/>
          <w:i w:val="0"/>
          <w:sz w:val="24"/>
        </w:rPr>
        <w:t>To evaluate source independence, Pearson correlations between JMSR and litigation counts were computed for each specialty over the overlapping period. To test whether occurrence and litigation act additively or synergistically, trivariate VAR models (JMSR + litigation + outcome) were fitted and compared with bivariate models by AIC. An interaction term (JMSR × litigation) was tested for additional predictive power via Granger F-tests.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pPr>
        <w:pStyle w:val="Heading2"/>
      </w:pPr>
      <w:r>
        <w:rPr>
          <w:rFonts w:ascii="Times New Roman" w:hAnsi="Times New Roman"/>
          <w:color w:val="000000"/>
        </w:rPr>
        <w:t>Sensitivity and source-independence analyses</w:t>
      </w:r>
    </w:p>
    <w:p>
      <w:pPr>
        <w:spacing w:after="120" w:line="480" w:lineRule="auto"/>
      </w:pPr>
      <w:r>
        <w:rPr>
          <w:rFonts w:ascii="Times New Roman" w:hAnsi="Times New Roman"/>
          <w:b w:val="0"/>
          <w:i w:val="0"/>
          <w:sz w:val="24"/>
        </w:rPr>
        <w:t>When litigation data were restricted to the 2015–2023 window (9 years, matching the JMSR period), significant forward Granger models fell from 18 to 4, indicating that the disparity in significance counts between data sources largely reflects statistical power afforded by the longer series rather than an intrinsic difference between occurrence and litigation as predictors.</w:t>
      </w:r>
    </w:p>
    <w:p>
      <w:pPr>
        <w:spacing w:after="120" w:line="480" w:lineRule="auto"/>
      </w:pPr>
      <w:r>
        <w:rPr>
          <w:rFonts w:ascii="Times New Roman" w:hAnsi="Times New Roman"/>
          <w:b w:val="0"/>
          <w:i w:val="0"/>
          <w:sz w:val="24"/>
        </w:rPr>
        <w:t>JMSR incident counts and litigation counts were weakly correlated across the overlapping period (median |r| = 0.23; no specialty reached P &lt; 0.05). Trivariate VAR models incorporating both sources simultaneously did not improve fit over bivariate models (mean ΔAIC = +0.6), and an interaction term (occurrence × litigation) reached significance in only 1 of 22 models, consistent with additive rather than synergistic effects.</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This multi-specialty Granger causality analysis yields three principal findings. First, safety incidents—whether measured by occurrence reports or litigation—temporally precede workforce decline in the majority of specialties when series length affords adequate statistical power. Second, the two incident sources are largely independent (median |r| = 0.23), implying that litigation captures a distinct dimension of professional risk—reputational exposure, financial liability, and prolonged procedural stress—not reducible to incident frequency. Third, these sources act additively rather than synergistically, suggesting that interventions targeting either pathway may yield independent workforce benefits.</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1,7</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21</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22</w:t>
      </w:r>
      <w:r>
        <w:rPr>
          <w:rFonts w:ascii="Times New Roman" w:hAnsi="Times New Roman"/>
          <w:b w:val="0"/>
          <w:i w:val="0"/>
          <w:sz w:val="24"/>
        </w:rPr>
        <w:t xml:space="preserve"> Restrictions on "gaikin" (moonlighting opportunities)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23</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The independence of occurrence and litigation counts has a direct policy corollary: because safety events occur with a certain irreducible probability, the litigation pathway constitutes a modifiable mediator. If malpractice disputes are resolved before reaching court—through early mediation, alternative dispute resolution, or no-fault compensation—the workforce signal associated with litigation may be attenuated without requiring a reduction in incident rates themselves.</w:t>
      </w:r>
      <w:r>
        <w:rPr>
          <w:rFonts w:ascii="Times New Roman" w:hAnsi="Times New Roman"/>
          <w:b w:val="0"/>
          <w:i w:val="0"/>
          <w:sz w:val="20"/>
          <w:vertAlign w:val="superscript"/>
        </w:rPr>
        <w:t>5,24</w:t>
      </w:r>
    </w:p>
    <w:p>
      <w:pPr>
        <w:spacing w:after="120" w:line="480" w:lineRule="auto"/>
      </w:pPr>
      <w:r>
        <w:rPr>
          <w:rFonts w:ascii="Times New Roman" w:hAnsi="Times New Roman"/>
          <w:b w:val="0"/>
          <w:i w:val="0"/>
          <w:sz w:val="24"/>
        </w:rPr>
        <w:t>Beyond dispute resolution, several complementary levers emerge from our results. Economic incentives for high-risk specialties (enhanced remuneration, training stipends, rural service allowances) address the most proximate driver of specialty avoidance.</w:t>
      </w:r>
      <w:r>
        <w:rPr>
          <w:rFonts w:ascii="Times New Roman" w:hAnsi="Times New Roman"/>
          <w:b w:val="0"/>
          <w:i w:val="0"/>
          <w:sz w:val="20"/>
          <w:vertAlign w:val="superscript"/>
        </w:rPr>
        <w:t>24</w:t>
      </w:r>
      <w:r>
        <w:rPr>
          <w:rFonts w:ascii="Times New Roman" w:hAnsi="Times New Roman"/>
          <w:b w:val="0"/>
          <w:i w:val="0"/>
          <w:sz w:val="24"/>
        </w:rPr>
        <w:t xml:space="preserve"> Fostering a non-punitive safety culture—structured post-incident psychological support, transparent root-cause analysis, and proportionate media reporting—may attenuate the deterrent signal of adverse events.</w:t>
      </w:r>
      <w:r>
        <w:rPr>
          <w:rFonts w:ascii="Times New Roman" w:hAnsi="Times New Roman"/>
          <w:b w:val="0"/>
          <w:i w:val="0"/>
          <w:sz w:val="20"/>
          <w:vertAlign w:val="superscript"/>
        </w:rPr>
        <w:t>5</w:t>
      </w:r>
      <w:r>
        <w:rPr>
          <w:rFonts w:ascii="Times New Roman" w:hAnsi="Times New Roman"/>
          <w:b w:val="0"/>
          <w:i w:val="0"/>
          <w:sz w:val="24"/>
        </w:rPr>
        <w:t xml:space="preserve"> The reverse-causality pathway (fewer physicians → more incidents) implies that minimum staffing thresholds in specialties exhibiting bidirectional causality (obstetrics, paediatrics, general surgery) could interrupt the reinforcing cycle before it becomes self-sustaining. Effective implementation of work-style reform—including correction of deemed self-study practices and equitable redistribution of workload—is essential to prevent the reform itself from accelerating exit from demanding specialties.</w:t>
      </w:r>
    </w:p>
    <w:p>
      <w:pPr>
        <w:spacing w:after="120" w:line="480" w:lineRule="auto"/>
      </w:pPr>
      <w:r>
        <w:rPr>
          <w:rFonts w:ascii="Times New Roman" w:hAnsi="Times New Roman"/>
          <w:b w:val="0"/>
          <w:i w:val="0"/>
          <w:sz w:val="24"/>
        </w:rPr>
        <w:t>The 3–5 year effect duration estimated by our IRFs defines a critical monitoring window: targeted surveillance and support in the years following a major safety event may prevent transient workforce shocks from consolidating into permanent losses. The projected contraction in general surgery (−230 physicians/year; −310 facilities/year) underscores the urgency of deploying these measures concurrently rather than sequentially.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for that data source.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Occurrence-based and litigation-based incident counts are largely independent yet both predict workforce decline, identifying litigation as a modifiable mediator. Early dispute resolution, combined with economic incentives, non-punitive safety culture, and minimum staffing safeguards, may interrupt the reinforcing shortage–incident cycle within the 3–5 year policy window identified here.</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6. Hiyama T, Yoshihara M, Tanaka S, et al. Defensive medicine practices among gastroenterologists in Japan. World J Gastroenterol. 2006;12(47):7671-5.</w:t>
      </w:r>
    </w:p>
    <w:p>
      <w:pPr>
        <w:spacing w:line="480" w:lineRule="auto" w:after="40"/>
      </w:pPr>
      <w:r>
        <w:rPr>
          <w:rFonts w:ascii="Times New Roman" w:hAnsi="Times New Roman"/>
          <w:sz w:val="20"/>
        </w:rPr>
        <w:t>7. Morita H. Criminal prosecution and physician supply. Int Rev Law Econ. 2018;55:1-11.</w:t>
      </w:r>
    </w:p>
    <w:p>
      <w:pPr>
        <w:spacing w:line="480" w:lineRule="auto" w:after="40"/>
      </w:pPr>
      <w:r>
        <w:rPr>
          <w:rFonts w:ascii="Times New Roman" w:hAnsi="Times New Roman"/>
          <w:sz w:val="20"/>
        </w:rPr>
        <w:t>8.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9. Supreme Court of Japan. Annual report of judicial statistics: medical malpractice litigation. Tokyo: Supreme Court; 2024. Japanese.</w:t>
      </w:r>
    </w:p>
    <w:p>
      <w:pPr>
        <w:spacing w:line="480" w:lineRule="auto" w:after="40"/>
      </w:pPr>
      <w:r>
        <w:rPr>
          <w:rFonts w:ascii="Times New Roman" w:hAnsi="Times New Roman"/>
          <w:sz w:val="20"/>
        </w:rPr>
        <w:t>10.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11. Granger CWJ. Investigating causal relations by econometric models and cross-spectral methods. Econometrica. 1969;37(3):424-38.</w:t>
      </w:r>
    </w:p>
    <w:p>
      <w:pPr>
        <w:spacing w:line="480" w:lineRule="auto" w:after="40"/>
      </w:pPr>
      <w:r>
        <w:rPr>
          <w:rFonts w:ascii="Times New Roman" w:hAnsi="Times New Roman"/>
          <w:sz w:val="20"/>
        </w:rPr>
        <w:t>12. Lütkepohl H. New Introduction to Multiple Time Series Analysis. Berlin: Springer; 2005.</w:t>
      </w:r>
    </w:p>
    <w:p>
      <w:pPr>
        <w:spacing w:line="480" w:lineRule="auto" w:after="40"/>
      </w:pPr>
      <w:r>
        <w:rPr>
          <w:rFonts w:ascii="Times New Roman" w:hAnsi="Times New Roman"/>
          <w:sz w:val="20"/>
        </w:rPr>
        <w:t>13. Toda HY, Yamamoto T. Statistical inference in vector autoregressions with possibly integrated processes. J Econom. 1995;66(1-2):225-50.</w:t>
      </w:r>
    </w:p>
    <w:p>
      <w:pPr>
        <w:spacing w:line="480" w:lineRule="auto" w:after="40"/>
      </w:pPr>
      <w:r>
        <w:rPr>
          <w:rFonts w:ascii="Times New Roman" w:hAnsi="Times New Roman"/>
          <w:sz w:val="20"/>
        </w:rPr>
        <w:t>14. von Elm E, Altman DG, Egger M, et al. The Strengthening the Reporting of Observational Studies in Epidemiology (STROBE) statement: guidelines for reporting observational studies. Lancet. 2007;370(9596):1453-7.</w:t>
      </w:r>
    </w:p>
    <w:p>
      <w:pPr>
        <w:spacing w:line="480" w:lineRule="auto" w:after="40"/>
      </w:pPr>
      <w:r>
        <w:rPr>
          <w:rFonts w:ascii="Times New Roman" w:hAnsi="Times New Roman"/>
          <w:sz w:val="20"/>
        </w:rPr>
        <w:t>15. Ministry of Health, Labour and Welfare. Survey of physicians, dentists, and pharmacists. Tokyo: MHLW; 2024. Japanese.</w:t>
      </w:r>
    </w:p>
    <w:p>
      <w:pPr>
        <w:spacing w:line="480" w:lineRule="auto" w:after="40"/>
      </w:pPr>
      <w:r>
        <w:rPr>
          <w:rFonts w:ascii="Times New Roman" w:hAnsi="Times New Roman"/>
          <w:sz w:val="20"/>
        </w:rPr>
        <w:t>16. Ministry of Health, Labour and Welfare. Survey of medical institutions (dynamic survey). Tokyo: MHLW; 2024. Japanese.</w:t>
      </w:r>
    </w:p>
    <w:p>
      <w:pPr>
        <w:spacing w:line="480" w:lineRule="auto" w:after="40"/>
      </w:pPr>
      <w:r>
        <w:rPr>
          <w:rFonts w:ascii="Times New Roman" w:hAnsi="Times New Roman"/>
          <w:sz w:val="20"/>
        </w:rPr>
        <w:t>17. Japan Board of Medical Specialties. Specialist trainee registration statistics. Tokyo: JBMS; 2025. Japanese.</w:t>
      </w:r>
    </w:p>
    <w:p>
      <w:pPr>
        <w:spacing w:line="480" w:lineRule="auto" w:after="40"/>
      </w:pPr>
      <w:r>
        <w:rPr>
          <w:rFonts w:ascii="Times New Roman" w:hAnsi="Times New Roman"/>
          <w:sz w:val="20"/>
        </w:rPr>
        <w:t>18. Hamilton JD. Time Series Analysis. Princeton: Princeton University Press; 1994.</w:t>
      </w:r>
    </w:p>
    <w:p>
      <w:pPr>
        <w:spacing w:line="480" w:lineRule="auto" w:after="40"/>
      </w:pPr>
      <w:r>
        <w:rPr>
          <w:rFonts w:ascii="Times New Roman" w:hAnsi="Times New Roman"/>
          <w:sz w:val="20"/>
        </w:rPr>
        <w:t>19. Sims CA. Macroeconomics and reality. Econometrica. 1980;48(1):1-48.</w:t>
      </w:r>
    </w:p>
    <w:p>
      <w:pPr>
        <w:spacing w:line="480" w:lineRule="auto" w:after="40"/>
      </w:pPr>
      <w:r>
        <w:rPr>
          <w:rFonts w:ascii="Times New Roman" w:hAnsi="Times New Roman"/>
          <w:sz w:val="20"/>
        </w:rPr>
        <w:t>20. Seabold S, Perktold J. Statsmodels: econometric and statistical modeling with Python. Proc 9th Python Sci Conf. 2010:92-6.</w:t>
      </w:r>
    </w:p>
    <w:p>
      <w:pPr>
        <w:spacing w:line="480" w:lineRule="auto" w:after="40"/>
      </w:pPr>
      <w:r>
        <w:rPr>
          <w:rFonts w:ascii="Times New Roman" w:hAnsi="Times New Roman"/>
          <w:sz w:val="20"/>
        </w:rPr>
        <w:t>21.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22.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23. Japan Medical Association. Survey on physician work-style reform implementation status. Tokyo: JMA; 2024. Japanese.</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