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Specialty-level malpractice litigation risk is unrelated to physician or hospital decline in Japan.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Rate-based, measured-only designs remove size confounding and sparse-panel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and power diagnostics support an informative null result.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Perceived risk and real workforce allocation diverge because of structural incentives and status-quo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Structural incentives, not litigation-avoidance messaging, are the more promising policy lever.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