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Supplementary material</w:t>
      </w:r>
    </w:p>
    <w:p>
      <w:pPr>
        <w:pStyle w:val="Heading2"/>
      </w:pPr>
      <w:r>
        <w:rPr>
          <w:rFonts w:ascii="Times New Roman" w:hAnsi="Times New Roman"/>
          <w:color w:val="000000"/>
        </w:rPr>
        <w:t>Supplementary Note 1. Detailed statistical methods</w:t>
      </w:r>
    </w:p>
    <w:p>
      <w:pPr>
        <w:spacing w:line="480" w:lineRule="auto" w:after="120"/>
      </w:pPr>
      <w:r>
        <w:rPr>
          <w:rFonts w:ascii="Times New Roman" w:hAnsi="Times New Roman"/>
          <w:b w:val="0"/>
          <w:i w:val="0"/>
          <w:sz w:val="24"/>
        </w:rPr>
        <w:t>This note records the full model specification, equivalence-testing rationale, and power diagnostics summarised in the main text. It also describes the heterogeneity and trend-robustness checks reported in Supplementary Table 9.</w:t>
      </w:r>
    </w:p>
    <w:p>
      <w:pPr>
        <w:spacing w:line="480" w:lineRule="auto" w:after="120"/>
      </w:pPr>
      <w:r>
        <w:rPr>
          <w:rFonts w:ascii="Times New Roman" w:hAnsi="Times New Roman"/>
          <w:b w:val="0"/>
          <w:i w:val="0"/>
          <w:sz w:val="24"/>
        </w:rPr>
        <w:t>Primary estimating equation. Let s index specialty, t index the biennial wave, and Y be the count of physicians or hospitals. The baseline model is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where alpha_s are specialty fixed effects, delta_t are wave fixed effects, litrate is closed malpractice claims per 1,000 physicians, and JOCS-CP is an obstetrics-and-gynaecology-specific indicator from 2009 onward. Standard errors are clustered by specialty and inference uses a t-distribution with G-1 degrees of freedom, where G=12.</w:t>
      </w:r>
    </w:p>
    <w:p>
      <w:pPr>
        <w:spacing w:line="480" w:lineRule="auto" w:after="120"/>
      </w:pPr>
      <w:r>
        <w:rPr>
          <w:rFonts w:ascii="Times New Roman" w:hAnsi="Times New Roman"/>
          <w:b w:val="0"/>
          <w:i w:val="0"/>
          <w:sz w:val="24"/>
        </w:rPr>
        <w:t>Equivalence testing. Two one-sided tests (TOST) evaluate whether the per-SD litigation-rate coefficient beta lies inside a pre-specified symmetric margin m. The null hypotheses are</w:t>
      </w:r>
    </w:p>
    <w:p>
      <w:pPr>
        <w:jc w:val="center"/>
      </w:pPr>
      <m:oMath xmlns:mml="http://www.w3.org/1998/Math/MathML">
        <m:sSub>
          <m:e>
            <m:r>
              <m:t>H</m:t>
            </m:r>
          </m:e>
          <m:sub>
            <m:r>
              <m:t>0</m:t>
            </m:r>
          </m:sub>
        </m:sSub>
        <m:r>
          <m:t>:beta&lt;=-m</m:t>
        </m:r>
        <m:r>
          <m:rPr>
            <m:nor/>
          </m:rPr>
          <m:t>and</m:t>
        </m:r>
        <m:sSub>
          <m:e>
            <m:r>
              <m:t>H</m:t>
            </m:r>
          </m:e>
          <m:sub>
            <m:r>
              <m:t>0</m:t>
            </m:r>
          </m:sub>
        </m:sSub>
        <m:r>
          <m:t>:beta&gt;=+m</m:t>
        </m:r>
      </m:oMath>
    </w:p>
    <w:p>
      <w:pPr>
        <w:spacing w:line="480" w:lineRule="auto" w:after="120"/>
      </w:pPr>
      <w:r>
        <w:rPr>
          <w:rFonts w:ascii="Times New Roman" w:hAnsi="Times New Roman"/>
          <w:b w:val="0"/>
          <w:i w:val="0"/>
          <w:sz w:val="24"/>
        </w:rPr>
        <w:t>Equivalence is declared when both one-sided tests yield p &lt; 0.05. Margins of 1% and 2% biennial workforce change were chosen because they are smaller than typical policy targets for specialty rebalancing.</w:t>
      </w:r>
    </w:p>
    <w:p>
      <w:pPr>
        <w:spacing w:line="480" w:lineRule="auto" w:after="120"/>
      </w:pPr>
      <w:r>
        <w:rPr>
          <w:rFonts w:ascii="Times New Roman" w:hAnsi="Times New Roman"/>
          <w:b w:val="0"/>
          <w:i w:val="0"/>
          <w:sz w:val="24"/>
        </w:rPr>
        <w:t>Power diagnostics. The minimum detectable effect (MDE) at 80% power for the per-SD coefficient is (t(0.975, df) + t(0.80, df)) x SE. The power to declare equivalence within margin m when the true effect is zero is 2 x F_t(m / SE) - 1, where F_t is the cumulative distribution function of the t(df) distribution. These quantities make the limited information in a 12-cluster panel explicit.</w:t>
      </w:r>
    </w:p>
    <w:p>
      <w:pPr>
        <w:spacing w:line="480" w:lineRule="auto" w:after="120"/>
      </w:pPr>
      <w:r>
        <w:rPr>
          <w:rFonts w:ascii="Times New Roman" w:hAnsi="Times New Roman"/>
          <w:b w:val="0"/>
          <w:i w:val="0"/>
          <w:sz w:val="24"/>
        </w:rPr>
        <w:t>Heterogeneity and trend robustness. To test whether the association differed by baseline litigation risk or surgical orientation, the model was augmented with an interaction between litrate and a binary group indicator:</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m:t>
        </m:r>
        <m:sSub>
          <m:e>
            <m:r>
              <m:t>delta</m:t>
            </m:r>
          </m:e>
          <m:sub>
            <m:r>
              <m:t>g</m:t>
            </m:r>
          </m:sub>
        </m:sSub>
        <m:r>
          <m:t>*(</m:t>
        </m:r>
        <m:sSub>
          <m:e>
            <m:r>
              <m:rPr>
                <m:nor/>
              </m:rPr>
              <m:t>litrate</m:t>
            </m:r>
          </m:e>
          <m:sub>
            <m:r>
              <m:t>s,t-1</m:t>
            </m:r>
          </m:sub>
        </m:sSub>
        <m:r>
          <m:t>*</m:t>
        </m:r>
        <m:sSub>
          <m:e>
            <m:r>
              <m:rPr>
                <m:nor/>
              </m:rPr>
              <m:t>Group</m:t>
            </m:r>
          </m:e>
          <m:sub>
            <m:r>
              <m:t>s</m:t>
            </m:r>
          </m:sub>
        </m:sSub>
        <m:r>
          <m:t>)+</m:t>
        </m:r>
        <m:sSub>
          <m:e>
            <m:r>
              <m:t>epsilon</m:t>
            </m:r>
          </m:e>
          <m:sub>
            <m:r>
              <m:t>st</m:t>
            </m:r>
          </m:sub>
        </m:sSub>
      </m:oMath>
    </w:p>
    <w:p>
      <w:pPr>
        <w:spacing w:line="480" w:lineRule="auto" w:after="120"/>
      </w:pPr>
      <w:r>
        <w:rPr>
          <w:rFonts w:ascii="Times New Roman" w:hAnsi="Times New Roman"/>
          <w:b w:val="0"/>
          <w:i w:val="0"/>
          <w:sz w:val="24"/>
        </w:rPr>
        <w:t>Group_s is either high-litigation (above the median specialty mean lagged litigation rate) or surgical (surgery, orthopaedics, obstetrics and gynaecology, urology). The main effect of Group is absorbed by the specialty fixed effects and is omitted. A separate robustness check added specialty-specific linear trends, C(specialty) x year, to the baseline specification.</w:t>
      </w:r>
    </w:p>
    <w:p>
      <w:pPr>
        <w:spacing w:line="480" w:lineRule="auto" w:after="120"/>
      </w:pPr>
      <w:r>
        <w:rPr>
          <w:rFonts w:ascii="Times New Roman" w:hAnsi="Times New Roman"/>
          <w:b w:val="0"/>
          <w:i w:val="0"/>
          <w:sz w:val="24"/>
        </w:rPr>
        <w:t>Supplementary Figure 1. Sensitivity-analysis framework for evaluating malpractice-litigation risk as a healthcare workforce-allocation lever.</w:t>
      </w:r>
    </w:p>
    <w:p>
      <w:pPr>
        <w:jc w:val="center"/>
      </w:pPr>
      <w:r>
        <w:drawing>
          <wp:inline xmlns:a="http://schemas.openxmlformats.org/drawingml/2006/main" xmlns:pic="http://schemas.openxmlformats.org/drawingml/2006/picture">
            <wp:extent cx="5303520" cy="5892800"/>
            <wp:docPr id="1" name="Picture 1"/>
            <wp:cNvGraphicFramePr>
              <a:graphicFrameLocks noChangeAspect="1"/>
            </wp:cNvGraphicFramePr>
            <a:graphic>
              <a:graphicData uri="http://schemas.openxmlformats.org/drawingml/2006/picture">
                <pic:pic>
                  <pic:nvPicPr>
                    <pic:cNvPr id="0" name="ha_Supplementary_Figure_1.png"/>
                    <pic:cNvPicPr/>
                  </pic:nvPicPr>
                  <pic:blipFill>
                    <a:blip r:embed="rId9"/>
                    <a:stretch>
                      <a:fillRect/>
                    </a:stretch>
                  </pic:blipFill>
                  <pic:spPr>
                    <a:xfrm>
                      <a:off x="0" y="0"/>
                      <a:ext cx="5303520" cy="5892800"/>
                    </a:xfrm>
                    <a:prstGeom prst="rect"/>
                  </pic:spPr>
                </pic:pic>
              </a:graphicData>
            </a:graphic>
          </wp:inline>
        </w:drawing>
      </w:r>
    </w:p>
    <w:p/>
    <w:p>
      <w:pPr>
        <w:spacing w:line="480" w:lineRule="auto" w:after="120"/>
      </w:pPr>
      <w:r>
        <w:rPr>
          <w:rFonts w:ascii="Times New Roman" w:hAnsi="Times New Roman"/>
          <w:b w:val="0"/>
          <w:i w:val="0"/>
          <w:sz w:val="24"/>
        </w:rPr>
        <w:t>Supplementary Figure 2.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ha_Supplementary_Figure_2.png"/>
                    <pic:cNvPicPr/>
                  </pic:nvPicPr>
                  <pic:blipFill>
                    <a:blip r:embed="rId10"/>
                    <a:stretch>
                      <a:fillRect/>
                    </a:stretch>
                  </pic:blipFill>
                  <pic:spPr>
                    <a:xfrm>
                      <a:off x="0" y="0"/>
                      <a:ext cx="5303520" cy="3535680"/>
                    </a:xfrm>
                    <a:prstGeom prst="rect"/>
                  </pic:spPr>
                </pic:pic>
              </a:graphicData>
            </a:graphic>
          </wp:inline>
        </w:drawing>
      </w:r>
    </w:p>
    <w:p/>
    <w:p>
      <w:pPr>
        <w:spacing w:line="480" w:lineRule="auto" w:after="120"/>
      </w:pPr>
      <w:r>
        <w:rPr>
          <w:rFonts w:ascii="Times New Roman" w:hAnsi="Times New Roman"/>
          <w:b w:val="0"/>
          <w:i w:val="0"/>
          <w:sz w:val="24"/>
        </w:rPr>
        <w:t>Supplementary Figure 3. Physician workforce by specialty, indexed to 2008 (=100).</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ha_Supplementary_Figure_3.png"/>
                    <pic:cNvPicPr/>
                  </pic:nvPicPr>
                  <pic:blipFill>
                    <a:blip r:embed="rId11"/>
                    <a:stretch>
                      <a:fillRect/>
                    </a:stretch>
                  </pic:blipFill>
                  <pic:spPr>
                    <a:xfrm>
                      <a:off x="0" y="0"/>
                      <a:ext cx="5303520" cy="3535680"/>
                    </a:xfrm>
                    <a:prstGeom prst="rect"/>
                  </pic:spPr>
                </pic:pic>
              </a:graphicData>
            </a:graphic>
          </wp:inline>
        </w:drawing>
      </w:r>
    </w:p>
    <w:p/>
    <w:p>
      <w:pPr>
        <w:spacing w:before="280" w:after="120"/>
      </w:pPr>
      <w:r>
        <w:rPr>
          <w:rFonts w:ascii="Times New Roman" w:hAnsi="Times New Roman"/>
          <w:b/>
          <w:sz w:val="20"/>
        </w:rPr>
        <w:t>Supplementary 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before="280" w:after="120"/>
      </w:pPr>
      <w:r>
        <w:rPr>
          <w:rFonts w:ascii="Times New Roman" w:hAnsi="Times New Roman"/>
          <w:b/>
          <w:sz w:val="20"/>
        </w:rPr>
        <w:t>Supplementary Table 2.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spacing w:before="280" w:after="120"/>
      </w:pPr>
      <w:r>
        <w:rPr>
          <w:rFonts w:ascii="Times New Roman" w:hAnsi="Times New Roman"/>
          <w:b/>
          <w:sz w:val="20"/>
        </w:rPr>
        <w:t>Supplementary Table 3. JMSR-adjusted annual hospital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before="280" w:after="120"/>
      </w:pPr>
      <w:r>
        <w:rPr>
          <w:rFonts w:ascii="Times New Roman" w:hAnsi="Times New Roman"/>
          <w:b/>
          <w:sz w:val="20"/>
        </w:rPr>
        <w:t>Supplementary Table 4. Media-adjusted annual hospital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Supplementary Table 5.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spacing w:before="280" w:after="120"/>
      </w:pPr>
      <w:r>
        <w:rPr>
          <w:rFonts w:ascii="Times New Roman" w:hAnsi="Times New Roman"/>
          <w:b/>
          <w:sz w:val="20"/>
        </w:rPr>
        <w:t>Supplementary Table 6.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spacing w:before="280" w:after="120"/>
      </w:pPr>
      <w:r>
        <w:rPr>
          <w:rFonts w:ascii="Times New Roman" w:hAnsi="Times New Roman"/>
          <w:b/>
          <w:sz w:val="20"/>
        </w:rPr>
        <w:t>Supplementary Table 7. Counterfactual 2034 physician counts by specialty and policy lever.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Supplementary Table 8.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spacing w:before="280" w:after="120"/>
      </w:pPr>
      <w:r>
        <w:rPr>
          <w:rFonts w:ascii="Times New Roman" w:hAnsi="Times New Roman"/>
          <w:b/>
          <w:sz w:val="20"/>
        </w:rPr>
        <w:t>Supplementary Table 9. Heterogeneity and trend-robustness checks. High-litigation and surgical models include an interaction between the lagged litigation rate and a binary group indicator (the main effect of the group is absorbed by specialty fixed effects). The trend-robustness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STROBE checklist</w:t>
      </w:r>
    </w:p>
    <w:p>
      <w:pPr>
        <w:spacing w:before="280" w:after="120"/>
      </w:pPr>
      <w:r>
        <w:rPr>
          <w:rFonts w:ascii="Times New Roman" w:hAnsi="Times New Roman"/>
          <w:b/>
          <w:sz w:val="20"/>
        </w:rPr>
        <w:t>STROBE checklist for observational cohort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Item</w:t>
            </w:r>
          </w:p>
        </w:tc>
        <w:tc>
          <w:tcPr>
            <w:tcW w:type="dxa" w:w="3120"/>
          </w:tcPr>
          <w:p>
            <w:pPr>
              <w:jc w:val="center"/>
            </w:pPr>
            <w:r>
              <w:rPr>
                <w:rFonts w:ascii="Times New Roman" w:hAnsi="Times New Roman"/>
                <w:b/>
                <w:sz w:val="18"/>
              </w:rPr>
              <w:t>Description</w:t>
            </w:r>
          </w:p>
        </w:tc>
        <w:tc>
          <w:tcPr>
            <w:tcW w:type="dxa" w:w="3120"/>
          </w:tcPr>
          <w:p>
            <w:pPr>
              <w:jc w:val="center"/>
            </w:pPr>
            <w:r>
              <w:rPr>
                <w:rFonts w:ascii="Times New Roman" w:hAnsi="Times New Roman"/>
                <w:b/>
                <w:sz w:val="18"/>
              </w:rPr>
              <w:t>Reported</w:t>
            </w:r>
          </w:p>
        </w:tc>
      </w:tr>
      <w:tr>
        <w:tc>
          <w:tcPr>
            <w:tcW w:type="dxa" w:w="3120"/>
          </w:tcPr>
          <w:p>
            <w:r>
              <w:rPr>
                <w:rFonts w:ascii="Times New Roman" w:hAnsi="Times New Roman"/>
                <w:sz w:val="18"/>
              </w:rPr>
              <w:t>1</w:t>
            </w:r>
          </w:p>
        </w:tc>
        <w:tc>
          <w:tcPr>
            <w:tcW w:type="dxa" w:w="3120"/>
          </w:tcPr>
          <w:p>
            <w:pPr>
              <w:jc w:val="center"/>
            </w:pPr>
            <w:r>
              <w:rPr>
                <w:rFonts w:ascii="Times New Roman" w:hAnsi="Times New Roman"/>
                <w:sz w:val="18"/>
              </w:rPr>
              <w:t>Title and abstract indicate the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w:t>
            </w:r>
          </w:p>
        </w:tc>
        <w:tc>
          <w:tcPr>
            <w:tcW w:type="dxa" w:w="3120"/>
          </w:tcPr>
          <w:p>
            <w:pPr>
              <w:jc w:val="center"/>
            </w:pPr>
            <w:r>
              <w:rPr>
                <w:rFonts w:ascii="Times New Roman" w:hAnsi="Times New Roman"/>
                <w:sz w:val="18"/>
              </w:rPr>
              <w:t>Background and rationale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3</w:t>
            </w:r>
          </w:p>
        </w:tc>
        <w:tc>
          <w:tcPr>
            <w:tcW w:type="dxa" w:w="3120"/>
          </w:tcPr>
          <w:p>
            <w:pPr>
              <w:jc w:val="center"/>
            </w:pPr>
            <w:r>
              <w:rPr>
                <w:rFonts w:ascii="Times New Roman" w:hAnsi="Times New Roman"/>
                <w:sz w:val="18"/>
              </w:rPr>
              <w:t>Specific objectives and hypotheses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4</w:t>
            </w:r>
          </w:p>
        </w:tc>
        <w:tc>
          <w:tcPr>
            <w:tcW w:type="dxa" w:w="3120"/>
          </w:tcPr>
          <w:p>
            <w:pPr>
              <w:jc w:val="center"/>
            </w:pPr>
            <w:r>
              <w:rPr>
                <w:rFonts w:ascii="Times New Roman" w:hAnsi="Times New Roman"/>
                <w:sz w:val="18"/>
              </w:rPr>
              <w:t>Key elements of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5</w:t>
            </w:r>
          </w:p>
        </w:tc>
        <w:tc>
          <w:tcPr>
            <w:tcW w:type="dxa" w:w="3120"/>
          </w:tcPr>
          <w:p>
            <w:pPr>
              <w:jc w:val="center"/>
            </w:pPr>
            <w:r>
              <w:rPr>
                <w:rFonts w:ascii="Times New Roman" w:hAnsi="Times New Roman"/>
                <w:sz w:val="18"/>
              </w:rPr>
              <w:t>Data sources, locations and dates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6</w:t>
            </w:r>
          </w:p>
        </w:tc>
        <w:tc>
          <w:tcPr>
            <w:tcW w:type="dxa" w:w="3120"/>
          </w:tcPr>
          <w:p>
            <w:pPr>
              <w:jc w:val="center"/>
            </w:pPr>
            <w:r>
              <w:rPr>
                <w:rFonts w:ascii="Times New Roman" w:hAnsi="Times New Roman"/>
                <w:sz w:val="18"/>
              </w:rPr>
              <w:t>Eligibility and selection criteria</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7</w:t>
            </w:r>
          </w:p>
        </w:tc>
        <w:tc>
          <w:tcPr>
            <w:tcW w:type="dxa" w:w="3120"/>
          </w:tcPr>
          <w:p>
            <w:pPr>
              <w:jc w:val="center"/>
            </w:pPr>
            <w:r>
              <w:rPr>
                <w:rFonts w:ascii="Times New Roman" w:hAnsi="Times New Roman"/>
                <w:sz w:val="18"/>
              </w:rPr>
              <w:t>Definitions of outcomes, exposures and predictors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8</w:t>
            </w:r>
          </w:p>
        </w:tc>
        <w:tc>
          <w:tcPr>
            <w:tcW w:type="dxa" w:w="3120"/>
          </w:tcPr>
          <w:p>
            <w:pPr>
              <w:jc w:val="center"/>
            </w:pPr>
            <w:r>
              <w:rPr>
                <w:rFonts w:ascii="Times New Roman" w:hAnsi="Times New Roman"/>
                <w:sz w:val="18"/>
              </w:rPr>
              <w:t>Data sources and measurement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9</w:t>
            </w:r>
          </w:p>
        </w:tc>
        <w:tc>
          <w:tcPr>
            <w:tcW w:type="dxa" w:w="3120"/>
          </w:tcPr>
          <w:p>
            <w:pPr>
              <w:jc w:val="center"/>
            </w:pPr>
            <w:r>
              <w:rPr>
                <w:rFonts w:ascii="Times New Roman" w:hAnsi="Times New Roman"/>
                <w:sz w:val="18"/>
              </w:rPr>
              <w:t>Discussion of potential sources of bias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10</w:t>
            </w:r>
          </w:p>
        </w:tc>
        <w:tc>
          <w:tcPr>
            <w:tcW w:type="dxa" w:w="3120"/>
          </w:tcPr>
          <w:p>
            <w:pPr>
              <w:jc w:val="center"/>
            </w:pPr>
            <w:r>
              <w:rPr>
                <w:rFonts w:ascii="Times New Roman" w:hAnsi="Times New Roman"/>
                <w:sz w:val="18"/>
              </w:rPr>
              <w:t>Explanation of study size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11</w:t>
            </w:r>
          </w:p>
        </w:tc>
        <w:tc>
          <w:tcPr>
            <w:tcW w:type="dxa" w:w="3120"/>
          </w:tcPr>
          <w:p>
            <w:pPr>
              <w:jc w:val="center"/>
            </w:pPr>
            <w:r>
              <w:rPr>
                <w:rFonts w:ascii="Times New Roman" w:hAnsi="Times New Roman"/>
                <w:sz w:val="18"/>
              </w:rPr>
              <w:t>Quantitative variables: grouping and transformations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12</w:t>
            </w:r>
          </w:p>
        </w:tc>
        <w:tc>
          <w:tcPr>
            <w:tcW w:type="dxa" w:w="3120"/>
          </w:tcPr>
          <w:p>
            <w:pPr>
              <w:jc w:val="center"/>
            </w:pPr>
            <w:r>
              <w:rPr>
                <w:rFonts w:ascii="Times New Roman" w:hAnsi="Times New Roman"/>
                <w:sz w:val="18"/>
              </w:rPr>
              <w:t>Description of all statistical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13</w:t>
            </w:r>
          </w:p>
        </w:tc>
        <w:tc>
          <w:tcPr>
            <w:tcW w:type="dxa" w:w="3120"/>
          </w:tcPr>
          <w:p>
            <w:pPr>
              <w:jc w:val="center"/>
            </w:pPr>
            <w:r>
              <w:rPr>
                <w:rFonts w:ascii="Times New Roman" w:hAnsi="Times New Roman"/>
                <w:sz w:val="18"/>
              </w:rPr>
              <w:t>Numbers of participants at each stage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14</w:t>
            </w:r>
          </w:p>
        </w:tc>
        <w:tc>
          <w:tcPr>
            <w:tcW w:type="dxa" w:w="3120"/>
          </w:tcPr>
          <w:p>
            <w:pPr>
              <w:jc w:val="center"/>
            </w:pPr>
            <w:r>
              <w:rPr>
                <w:rFonts w:ascii="Times New Roman" w:hAnsi="Times New Roman"/>
                <w:sz w:val="18"/>
              </w:rPr>
              <w:t>Descriptive characteristics of participants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15</w:t>
            </w:r>
          </w:p>
        </w:tc>
        <w:tc>
          <w:tcPr>
            <w:tcW w:type="dxa" w:w="3120"/>
          </w:tcPr>
          <w:p>
            <w:pPr>
              <w:jc w:val="center"/>
            </w:pPr>
            <w:r>
              <w:rPr>
                <w:rFonts w:ascii="Times New Roman" w:hAnsi="Times New Roman"/>
                <w:sz w:val="18"/>
              </w:rPr>
              <w:t>Outcome data for each exposure category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16</w:t>
            </w:r>
          </w:p>
        </w:tc>
        <w:tc>
          <w:tcPr>
            <w:tcW w:type="dxa" w:w="3120"/>
          </w:tcPr>
          <w:p>
            <w:pPr>
              <w:jc w:val="center"/>
            </w:pPr>
            <w:r>
              <w:rPr>
                <w:rFonts w:ascii="Times New Roman" w:hAnsi="Times New Roman"/>
                <w:sz w:val="18"/>
              </w:rPr>
              <w:t>Main results with measures of uncertainty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17</w:t>
            </w:r>
          </w:p>
        </w:tc>
        <w:tc>
          <w:tcPr>
            <w:tcW w:type="dxa" w:w="3120"/>
          </w:tcPr>
          <w:p>
            <w:pPr>
              <w:jc w:val="center"/>
            </w:pPr>
            <w:r>
              <w:rPr>
                <w:rFonts w:ascii="Times New Roman" w:hAnsi="Times New Roman"/>
                <w:sz w:val="18"/>
              </w:rPr>
              <w:t>Other analyses (sensitivity and subgroup)</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18</w:t>
            </w:r>
          </w:p>
        </w:tc>
        <w:tc>
          <w:tcPr>
            <w:tcW w:type="dxa" w:w="3120"/>
          </w:tcPr>
          <w:p>
            <w:pPr>
              <w:jc w:val="center"/>
            </w:pPr>
            <w:r>
              <w:rPr>
                <w:rFonts w:ascii="Times New Roman" w:hAnsi="Times New Roman"/>
                <w:sz w:val="18"/>
              </w:rPr>
              <w:t>Summary of key results with reference to objectives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19</w:t>
            </w:r>
          </w:p>
        </w:tc>
        <w:tc>
          <w:tcPr>
            <w:tcW w:type="dxa" w:w="3120"/>
          </w:tcPr>
          <w:p>
            <w:pPr>
              <w:jc w:val="center"/>
            </w:pPr>
            <w:r>
              <w:rPr>
                <w:rFonts w:ascii="Times New Roman" w:hAnsi="Times New Roman"/>
                <w:sz w:val="18"/>
              </w:rPr>
              <w:t>Limitations of bias and imprecision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20</w:t>
            </w:r>
          </w:p>
        </w:tc>
        <w:tc>
          <w:tcPr>
            <w:tcW w:type="dxa" w:w="3120"/>
          </w:tcPr>
          <w:p>
            <w:pPr>
              <w:jc w:val="center"/>
            </w:pPr>
            <w:r>
              <w:rPr>
                <w:rFonts w:ascii="Times New Roman" w:hAnsi="Times New Roman"/>
                <w:sz w:val="18"/>
              </w:rPr>
              <w:t>Cautious overall interpretation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21</w:t>
            </w:r>
          </w:p>
        </w:tc>
        <w:tc>
          <w:tcPr>
            <w:tcW w:type="dxa" w:w="3120"/>
          </w:tcPr>
          <w:p>
            <w:pPr>
              <w:jc w:val="center"/>
            </w:pPr>
            <w:r>
              <w:rPr>
                <w:rFonts w:ascii="Times New Roman" w:hAnsi="Times New Roman"/>
                <w:sz w:val="18"/>
              </w:rPr>
              <w:t>Generalisability to other populations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22</w:t>
            </w:r>
          </w:p>
        </w:tc>
        <w:tc>
          <w:tcPr>
            <w:tcW w:type="dxa" w:w="3120"/>
          </w:tcPr>
          <w:p>
            <w:pPr>
              <w:jc w:val="center"/>
            </w:pPr>
            <w:r>
              <w:rPr>
                <w:rFonts w:ascii="Times New Roman" w:hAnsi="Times New Roman"/>
                <w:sz w:val="18"/>
              </w:rPr>
              <w:t>Registration, protocol, funding, data and code availability</w:t>
            </w:r>
          </w:p>
        </w:tc>
        <w:tc>
          <w:tcPr>
            <w:tcW w:type="dxa" w:w="3120"/>
          </w:tcPr>
          <w:p>
            <w:pPr>
              <w:jc w:val="center"/>
            </w:pPr>
            <w:r>
              <w:rPr>
                <w:rFonts w:ascii="Times New Roman" w:hAnsi="Times New Roman"/>
                <w:sz w:val="18"/>
              </w:rPr>
              <w:t>Yes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