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Editable tables</w:t>
      </w:r>
    </w:p>
    <w:p>
      <w:pPr>
        <w:spacing w:before="280" w:after="120"/>
      </w:pPr>
      <w:r>
        <w:rPr>
          <w:b/>
        </w:rPr>
        <w:t>Table 1. Evidence supporting the serviced-hardware threat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Evidence domain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Demonstrated capability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Transfer to serviced hardware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Boundary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Human mobility traces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Sparse spatiotemporal points can uniquely characterize individuals [4].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Repeated vehicle events may be joined with schedules or access data.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Direct for mobility data; identity requires auxiliary information.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Shared micromobility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Longitudinal vehicle activity can be reconstructed despite identifier changes [5].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Fleet telemetry can preserve continuity around a facility.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Direct for studied services; architecture differs by operator.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side channels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Electric-vehicle battery consumption revealed driver, style, occupancy, and habitual endpoints [11].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Battery or controller data may expose recurring operational patterns.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Direct for electric-vehicle datasets; conditional on resolution and access.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Electrical load inference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Power signatures can reveal appliance use and behavior [12,13].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Supports inference from non-positional telemetry.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Mechanism analogy; not proof for every device.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BMS history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Health and forensic analysis use cycle, voltage, current, and temperature history [14-16].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Retained records may remain informative during service or return.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depth and storage location are implementation-specific.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Lifecycle custody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Supply-chain and IoT guidance treats access, logging, support, and sanitization as lifecycle controls [19-23].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Maintenance, recall, and disposal require explicit assurance.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Normative guidance; effectiveness requires verification.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spacing w:before="280" w:after="120"/>
      </w:pPr>
      <w:r>
        <w:rPr>
          <w:b/>
        </w:rPr>
        <w:t>Table 2. Lifecycle controls and auditable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Stage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Control objective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Minimum requirement</w:t>
            </w:r>
          </w:p>
        </w:tc>
        <w:tc>
          <w:tcPr>
            <w:tcW w:type="dxa" w:w="234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Evidence of compliance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Procurement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Establish visibility before deployment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inventory; component and software provenance; sub-processor and jurisdiction list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Architecture diagram; software bill of materials; supplier attestations; contract schedules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Deployment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Bind device to approved context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Hardened configuration; disabled unnecessary interfaces; approved identifiers and zones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Configuration record; acceptance test; asset registration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Operation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Minimize and contain telemetry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Purpose limitation; local processing where feasible; bounded retention; least privilege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Field-level schema; retention test; access logs; deletion evidence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Maintenance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Control diagnostic and physical access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Vetted staff; authorized tools; logged sessions; chain of custody; tamper evidence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Work order; access log; tool inventory; custody receipt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Recall/return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Prevent emergency return from bypassing security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Data-bearing component check; approved recipient; sanitize, escrow, or controlled retention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Recall playbook; transfer authorization; sanitization or legal-hold record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Second life/disposal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Remove residual data and credentials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Verified sanitization of all components; key revocation; controlled recycler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Sanitization certificate; revocation log; recycler audit</w:t>
            </w:r>
          </w:p>
        </w:tc>
      </w:tr>
      <w:tr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Continuous assurance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Detect changes in supplier or architecture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Incident notice; vulnerability support; material-change approval; periodic reassessment</w:t>
            </w:r>
          </w:p>
        </w:tc>
        <w:tc>
          <w:tcPr>
            <w:tcW w:type="dxa" w:w="234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Update records; support dates; audit report; change notifications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