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remain poorly quantified. In Japan, workforce maldistribution has intensified amid the 2024 work-style reform, but no multi-specialty test of predictive causality between incidents and physician supply has been conducted.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from national surveys. Granger causality F-tests, impulse response functions,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20 demonstrated significant forward Granger causality (incidents → workforce; P &lt; 0.05). The strongest association was in obstetrics and gynaecology (F = 46.66, P &lt; 0.001). Bidirectional causality emerged in 7 specialty–outcome pairs. Impulse response functions showed that a litigation shock depressed physician supply for 3–5 years. General surgery is projected to lose approximately 230 physicians per 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Safety incidents Granger-cause specialty-specific workforce decline lasting 3–5 years. Coupled with work-style reform constraints, the resulting reinforcing cycle threatens essential medical services and demands integrated policy intervention.</w:t>
      </w:r>
    </w:p>
    <w:p>
      <w:pPr>
        <w:spacing w:after="360" w:line="480" w:lineRule="auto"/>
      </w:pPr>
      <w:r>
        <w:rPr>
          <w:rFonts w:ascii="Times New Roman" w:hAnsi="Times New Roman"/>
          <w:b w:val="0"/>
          <w:i/>
          <w:sz w:val="24"/>
        </w:rPr>
        <w:t>Key words: physician workforce, Granger causality, medical safety incidents, specialty maldistribution, work-style reform,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physician workforce has grown steadily to approximately 340,000, yet aggregate expansion masks deepening maldistribution across specialties and regions.</w:t>
      </w:r>
      <w:r>
        <w:rPr>
          <w:rFonts w:ascii="Times New Roman" w:hAnsi="Times New Roman"/>
          <w:b w:val="0"/>
          <w:i w:val="0"/>
          <w:sz w:val="20"/>
          <w:vertAlign w:val="superscript"/>
        </w:rPr>
        <w:t>1,2</w:t>
      </w:r>
      <w:r>
        <w:rPr>
          <w:rFonts w:ascii="Times New Roman" w:hAnsi="Times New Roman"/>
          <w:b w:val="0"/>
          <w:i w:val="0"/>
          <w:sz w:val="24"/>
        </w:rPr>
        <w:t xml:space="preserve"> General surgery, obstetrics, emergency medicine, and paediatrics face persistent shortages even as total supply rises.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The April 2024 work-style reform, capping physician overtime at 960 hours annually, has curtailed "gaikin" (moonlighting opportunities) that long supplemented hospital incomes.</w:t>
      </w:r>
      <w:r>
        <w:rPr>
          <w:rFonts w:ascii="Times New Roman" w:hAnsi="Times New Roman"/>
          <w:b w:val="0"/>
          <w:i w:val="0"/>
          <w:sz w:val="20"/>
          <w:vertAlign w:val="superscript"/>
        </w:rPr>
        <w:t>5,6</w:t>
      </w:r>
      <w:r>
        <w:rPr>
          <w:rFonts w:ascii="Times New Roman" w:hAnsi="Times New Roman"/>
          <w:b w:val="0"/>
          <w:i w:val="0"/>
          <w:sz w:val="24"/>
        </w:rPr>
        <w:t xml:space="preserve"> How these regulatory constraints interact with incident-driven workforce dynamics remains untested beyond single-event case studies.</w:t>
      </w:r>
    </w:p>
    <w:p>
      <w:pPr>
        <w:spacing w:after="120" w:line="480" w:lineRule="auto"/>
      </w:pPr>
      <w:r>
        <w:rPr>
          <w:rFonts w:ascii="Times New Roman" w:hAnsi="Times New Roman"/>
          <w:b w:val="0"/>
          <w:i w:val="0"/>
          <w:sz w:val="24"/>
        </w:rPr>
        <w:t>Safety incidents as a determinant of specialty choice gained prominence after the 2004 Fukushima obstetrics prosecution, in which an obstetrician was arrested following a maternal death during caesarean section.</w:t>
      </w:r>
      <w:r>
        <w:rPr>
          <w:rFonts w:ascii="Times New Roman" w:hAnsi="Times New Roman"/>
          <w:b w:val="0"/>
          <w:i w:val="0"/>
          <w:sz w:val="20"/>
          <w:vertAlign w:val="superscript"/>
        </w:rPr>
        <w:t>7,8</w:t>
      </w:r>
      <w:r>
        <w:rPr>
          <w:rFonts w:ascii="Times New Roman" w:hAnsi="Times New Roman"/>
          <w:b w:val="0"/>
          <w:i w:val="0"/>
          <w:sz w:val="24"/>
        </w:rPr>
        <w:t xml:space="preserve"> Morita reported a 13% decline in obstetricians in the affected prefecture using difference-in-differences.</w:t>
      </w:r>
      <w:r>
        <w:rPr>
          <w:rFonts w:ascii="Times New Roman" w:hAnsi="Times New Roman"/>
          <w:b w:val="0"/>
          <w:i w:val="0"/>
          <w:sz w:val="20"/>
          <w:vertAlign w:val="superscript"/>
        </w:rPr>
        <w:t>9</w:t>
      </w:r>
      <w:r>
        <w:rPr>
          <w:rFonts w:ascii="Times New Roman" w:hAnsi="Times New Roman"/>
          <w:b w:val="0"/>
          <w:i w:val="0"/>
          <w:sz w:val="24"/>
        </w:rPr>
        <w:t xml:space="preserve"> That analysis, however, addressed a single event in one specialty and one region; broader multi-specialty evidence linking incident burden to workforce dynamics is lacking.</w:t>
      </w:r>
    </w:p>
    <w:p>
      <w:pPr>
        <w:spacing w:after="120" w:line="480" w:lineRule="auto"/>
      </w:pPr>
      <w:r>
        <w:rPr>
          <w:rFonts w:ascii="Times New Roman" w:hAnsi="Times New Roman"/>
          <w:b w:val="0"/>
          <w:i w:val="0"/>
          <w:sz w:val="24"/>
        </w:rPr>
        <w:t>Japan offers two complementary national incident series: the Japan Medical Safety Research Organisation (JMSR) mandatory reports (from 2015)</w:t>
      </w:r>
      <w:r>
        <w:rPr>
          <w:rFonts w:ascii="Times New Roman" w:hAnsi="Times New Roman"/>
          <w:b w:val="0"/>
          <w:i w:val="0"/>
          <w:sz w:val="20"/>
          <w:vertAlign w:val="superscript"/>
        </w:rPr>
        <w:t>10</w:t>
      </w:r>
      <w:r>
        <w:rPr>
          <w:rFonts w:ascii="Times New Roman" w:hAnsi="Times New Roman"/>
          <w:b w:val="0"/>
          <w:i w:val="0"/>
          <w:sz w:val="24"/>
        </w:rPr>
        <w:t xml:space="preserve"> and Supreme Court malpractice litigation statistics by specialty.</w:t>
      </w:r>
      <w:r>
        <w:rPr>
          <w:rFonts w:ascii="Times New Roman" w:hAnsi="Times New Roman"/>
          <w:b w:val="0"/>
          <w:i w:val="0"/>
          <w:sz w:val="20"/>
          <w:vertAlign w:val="superscript"/>
        </w:rPr>
        <w:t>11,12</w:t>
      </w:r>
      <w:r>
        <w:rPr>
          <w:rFonts w:ascii="Times New Roman" w:hAnsi="Times New Roman"/>
          <w:b w:val="0"/>
          <w:i w:val="0"/>
          <w:sz w:val="24"/>
        </w:rPr>
        <w:t xml:space="preserve"> Paired with biennial physician surveys and annual facility registrations, these data permit a systematic multi-specialty analysis.</w:t>
      </w:r>
    </w:p>
    <w:p>
      <w:pPr>
        <w:spacing w:after="120" w:line="480" w:lineRule="auto"/>
      </w:pPr>
      <w:r>
        <w:rPr>
          <w:rFonts w:ascii="Times New Roman" w:hAnsi="Times New Roman"/>
          <w:b w:val="0"/>
          <w:i w:val="0"/>
          <w:sz w:val="24"/>
        </w:rPr>
        <w:t>Here we apply vector autoregression (VAR) and Granger causality testing</w:t>
      </w:r>
      <w:r>
        <w:rPr>
          <w:rFonts w:ascii="Times New Roman" w:hAnsi="Times New Roman"/>
          <w:b w:val="0"/>
          <w:i w:val="0"/>
          <w:sz w:val="20"/>
          <w:vertAlign w:val="superscript"/>
        </w:rPr>
        <w:t>13–15</w:t>
      </w:r>
      <w:r>
        <w:rPr>
          <w:rFonts w:ascii="Times New Roman" w:hAnsi="Times New Roman"/>
          <w:b w:val="0"/>
          <w:i w:val="0"/>
          <w:sz w:val="24"/>
        </w:rPr>
        <w:t>—established econometric tools for predictive-causality inference—to determine whether incident trends temporally precede changes in specialty-specific physician and facility counts across 12 specialties over up to 20 years.</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This is a secondary analysis of routinely collected national administrative data using bivariate VAR models and Granger causality tests, reported in accordance with the STROBE (Strengthening the Reporting of Observational Studies in Epidemiology) statement for cross-sectional studies.</w:t>
      </w:r>
      <w:r>
        <w:rPr>
          <w:rFonts w:ascii="Times New Roman" w:hAnsi="Times New Roman"/>
          <w:b w:val="0"/>
          <w:i w:val="0"/>
          <w:sz w:val="20"/>
          <w:vertAlign w:val="superscript"/>
        </w:rPr>
        <w:t>16</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10</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11</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17</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18</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19</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bidirectionally using F-tests on lagged coefficients.</w:t>
      </w:r>
      <w:r>
        <w:rPr>
          <w:rFonts w:ascii="Times New Roman" w:hAnsi="Times New Roman"/>
          <w:b w:val="0"/>
          <w:i w:val="0"/>
          <w:sz w:val="20"/>
          <w:vertAlign w:val="superscript"/>
        </w:rPr>
        <w:t>20</w:t>
      </w:r>
      <w:r>
        <w:rPr>
          <w:rFonts w:ascii="Times New Roman" w:hAnsi="Times New Roman"/>
          <w:b w:val="0"/>
          <w:i w:val="0"/>
          <w:sz w:val="24"/>
        </w:rPr>
        <w:t xml:space="preserve"> The forward null hypothesis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21</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annual observations), detrended Pearson correlations between JMSR incidents and enrolment were computed. Analyses used Python 3.10 with statsmodels 0.14.</w:t>
      </w:r>
      <w:r>
        <w:rPr>
          <w:rFonts w:ascii="Times New Roman" w:hAnsi="Times New Roman"/>
          <w:b w:val="0"/>
          <w:i w:val="0"/>
          <w:sz w:val="20"/>
          <w:vertAlign w:val="superscript"/>
        </w:rPr>
        <w:t>22</w:t>
      </w:r>
      <w:r>
        <w:rPr>
          <w:rFonts w:ascii="Times New Roman" w:hAnsi="Times New Roman"/>
          <w:b w:val="0"/>
          <w:i w:val="0"/>
          <w:sz w:val="24"/>
        </w:rPr>
        <w:t xml:space="preserve"> Code and data are deposited at https://github.com/bougtoir/medical-accident-its-analysis.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JMSR received 3,860 reports across 12 specialties (2015–2025); general surgery (n = 520), internal medicine (n = 479), and orthopaedic surgery (n = 310) contributed the largest volumes. Malpractice litigation declined from 1,139 cases (2004) to 746 (2023) nationally, though specialty-level trajectories diverged (Figure 1).</w:t>
      </w:r>
    </w:p>
    <w:p>
      <w:pPr>
        <w:spacing w:before="240" w:after="120" w:line="480" w:lineRule="auto"/>
      </w:pPr>
      <w:r>
        <w:rPr>
          <w:rFonts w:ascii="Times New Roman" w:hAnsi="Times New Roman"/>
          <w:b/>
          <w:sz w:val="20"/>
        </w:rPr>
        <w:t>Figure 1. Trends in medical safety incident counts by specialty.</w:t>
      </w:r>
    </w:p>
    <w:p>
      <w:pPr>
        <w:jc w:val="center"/>
      </w:pPr>
      <w:r>
        <w:drawing>
          <wp:inline xmlns:a="http://schemas.openxmlformats.org/drawingml/2006/main" xmlns:pic="http://schemas.openxmlformats.org/drawingml/2006/picture">
            <wp:extent cx="5029200" cy="5543311"/>
            <wp:docPr id="1" name="Picture 1"/>
            <wp:cNvGraphicFramePr>
              <a:graphicFrameLocks noChangeAspect="1"/>
            </wp:cNvGraphicFramePr>
            <a:graphic>
              <a:graphicData uri="http://schemas.openxmlformats.org/drawingml/2006/picture">
                <pic:pic>
                  <pic:nvPicPr>
                    <pic:cNvPr id="0" name="fig4_accident_trends.png"/>
                    <pic:cNvPicPr/>
                  </pic:nvPicPr>
                  <pic:blipFill>
                    <a:blip r:embed="rId9"/>
                    <a:stretch>
                      <a:fillRect/>
                    </a:stretch>
                  </pic:blipFill>
                  <pic:spPr>
                    <a:xfrm>
                      <a:off x="0" y="0"/>
                      <a:ext cx="5029200" cy="5543311"/>
                    </a:xfrm>
                    <a:prstGeom prst="rect"/>
                  </pic:spPr>
                </pic:pic>
              </a:graphicData>
            </a:graphic>
          </wp:inline>
        </w:drawing>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displays physician-count IRFs following a one-unit litigation shock for six key specialties. Obstetrics and gynaecology exhibited a sustained negative response peaking at 2–3 years and persisting approximately 5 years; general surgery followed a similar trajectory attenuating by year 4. Facility-count IRFs appear in Figure 3.</w:t>
      </w:r>
    </w:p>
    <w:p>
      <w:pPr>
        <w:spacing w:before="240" w:after="120" w:line="480" w:lineRule="auto"/>
      </w:pPr>
      <w:r>
        <w:rPr>
          <w:rFonts w:ascii="Times New Roman" w:hAnsi="Times New Roman"/>
          <w:b/>
          <w:sz w:val="20"/>
        </w:rPr>
        <w:t>Figure 2. IRF: physician count response to a one-unit litigation shock.</w:t>
      </w:r>
    </w:p>
    <w:p>
      <w:pPr>
        <w:jc w:val="center"/>
      </w:pPr>
      <w:r>
        <w:drawing>
          <wp:inline xmlns:a="http://schemas.openxmlformats.org/drawingml/2006/main" xmlns:pic="http://schemas.openxmlformats.org/drawingml/2006/picture">
            <wp:extent cx="5029200" cy="5927271"/>
            <wp:docPr id="2" name="Picture 2"/>
            <wp:cNvGraphicFramePr>
              <a:graphicFrameLocks noChangeAspect="1"/>
            </wp:cNvGraphicFramePr>
            <a:graphic>
              <a:graphicData uri="http://schemas.openxmlformats.org/drawingml/2006/picture">
                <pic:pic>
                  <pic:nvPicPr>
                    <pic:cNvPr id="0" name="fig2_irf_physicians.png"/>
                    <pic:cNvPicPr/>
                  </pic:nvPicPr>
                  <pic:blipFill>
                    <a:blip r:embed="rId10"/>
                    <a:stretch>
                      <a:fillRect/>
                    </a:stretch>
                  </pic:blipFill>
                  <pic:spPr>
                    <a:xfrm>
                      <a:off x="0" y="0"/>
                      <a:ext cx="5029200" cy="5927271"/>
                    </a:xfrm>
                    <a:prstGeom prst="rect"/>
                  </pic:spPr>
                </pic:pic>
              </a:graphicData>
            </a:graphic>
          </wp:inline>
        </w:drawing>
      </w:r>
    </w:p>
    <w:p/>
    <w:p>
      <w:pPr>
        <w:spacing w:before="240" w:after="120" w:line="480" w:lineRule="auto"/>
      </w:pPr>
      <w:r>
        <w:rPr>
          <w:rFonts w:ascii="Times New Roman" w:hAnsi="Times New Roman"/>
          <w:b/>
          <w:sz w:val="20"/>
        </w:rPr>
        <w:t>Figure 3. IRF: facility count response to a one-unit litigation shock.</w:t>
      </w:r>
    </w:p>
    <w:p>
      <w:pPr>
        <w:jc w:val="center"/>
      </w:pPr>
      <w:r>
        <w:drawing>
          <wp:inline xmlns:a="http://schemas.openxmlformats.org/drawingml/2006/main" xmlns:pic="http://schemas.openxmlformats.org/drawingml/2006/picture">
            <wp:extent cx="5029200" cy="5927271"/>
            <wp:docPr id="3" name="Picture 3"/>
            <wp:cNvGraphicFramePr>
              <a:graphicFrameLocks noChangeAspect="1"/>
            </wp:cNvGraphicFramePr>
            <a:graphic>
              <a:graphicData uri="http://schemas.openxmlformats.org/drawingml/2006/picture">
                <pic:pic>
                  <pic:nvPicPr>
                    <pic:cNvPr id="0" name="sfig1_irf_facilities.png"/>
                    <pic:cNvPicPr/>
                  </pic:nvPicPr>
                  <pic:blipFill>
                    <a:blip r:embed="rId11"/>
                    <a:stretch>
                      <a:fillRect/>
                    </a:stretch>
                  </pic:blipFill>
                  <pic:spPr>
                    <a:xfrm>
                      <a:off x="0" y="0"/>
                      <a:ext cx="5029200" cy="5927271"/>
                    </a:xfrm>
                    <a:prstGeom prst="rect"/>
                  </pic:spPr>
                </pic:pic>
              </a:graphicData>
            </a:graphic>
          </wp:inline>
        </w:drawing>
      </w:r>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Pr>
        <w:spacing w:before="240" w:after="120" w:line="480" w:lineRule="auto"/>
      </w:pPr>
      <w:r>
        <w:rPr>
          <w:rFonts w:ascii="Times New Roman" w:hAnsi="Times New Roman"/>
          <w:b/>
          <w:sz w:val="20"/>
        </w:rPr>
        <w:t>Figure 4. VAR-based forecasts of physician and facility counts (2024–2033).</w:t>
      </w:r>
    </w:p>
    <w:p>
      <w:pPr>
        <w:jc w:val="center"/>
      </w:pPr>
      <w:r>
        <w:drawing>
          <wp:inline xmlns:a="http://schemas.openxmlformats.org/drawingml/2006/main" xmlns:pic="http://schemas.openxmlformats.org/drawingml/2006/picture">
            <wp:extent cx="5029200" cy="5925851"/>
            <wp:docPr id="4" name="Picture 4"/>
            <wp:cNvGraphicFramePr>
              <a:graphicFrameLocks noChangeAspect="1"/>
            </wp:cNvGraphicFramePr>
            <a:graphic>
              <a:graphicData uri="http://schemas.openxmlformats.org/drawingml/2006/picture">
                <pic:pic>
                  <pic:nvPicPr>
                    <pic:cNvPr id="0" name="fig3_var_forecasts.png"/>
                    <pic:cNvPicPr/>
                  </pic:nvPicPr>
                  <pic:blipFill>
                    <a:blip r:embed="rId12"/>
                    <a:stretch>
                      <a:fillRect/>
                    </a:stretch>
                  </pic:blipFill>
                  <pic:spPr>
                    <a:xfrm>
                      <a:off x="0" y="0"/>
                      <a:ext cx="5029200" cy="5925851"/>
                    </a:xfrm>
                    <a:prstGeom prst="rect"/>
                  </pic:spPr>
                </pic:pic>
              </a:graphicData>
            </a:graphic>
          </wp:inline>
        </w:drawing>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Litigation statistics Granger-caused physician counts in 9 of 12 specialties and facility counts in 9 of 12; obstetrics and gynaecology showed the strongest association (F = 46.66, P &lt; 0.001). These results establish, for the first time across multiple specialties simultaneously, that incident burden carries predictive information for subsequent workforce change.</w:t>
      </w:r>
    </w:p>
    <w:p>
      <w:pPr>
        <w:pStyle w:val="Heading2"/>
      </w:pPr>
      <w:r>
        <w:rPr>
          <w:rFonts w:ascii="Times New Roman" w:hAnsi="Times New Roman"/>
          <w:color w:val="000000"/>
        </w:rPr>
        <w:t>Bidirectional causality</w:t>
      </w:r>
    </w:p>
    <w:p>
      <w:pPr>
        <w:spacing w:after="120" w:line="480" w:lineRule="auto"/>
      </w:pPr>
      <w:r>
        <w:rPr>
          <w:rFonts w:ascii="Times New Roman" w:hAnsi="Times New Roman"/>
          <w:b w:val="0"/>
          <w:i w:val="0"/>
          <w:sz w:val="24"/>
        </w:rPr>
        <w:t>Bidirectional Granger causality in 7 specialty–outcome pairs points to a reinforcing cycle. The forward pathway (incidents → workforce decline) is consistent with incident-avoidance behaviour: high-profile events deter specialty entry and hasten exit.</w:t>
      </w:r>
      <w:r>
        <w:rPr>
          <w:rFonts w:ascii="Times New Roman" w:hAnsi="Times New Roman"/>
          <w:b w:val="0"/>
          <w:i w:val="0"/>
          <w:sz w:val="20"/>
          <w:vertAlign w:val="superscript"/>
        </w:rPr>
        <w:t>1,9</w:t>
      </w:r>
      <w:r>
        <w:rPr>
          <w:rFonts w:ascii="Times New Roman" w:hAnsi="Times New Roman"/>
          <w:b w:val="0"/>
          <w:i w:val="0"/>
          <w:sz w:val="24"/>
        </w:rPr>
        <w:t xml:space="preserve"> The reverse pathway (workforce decline → incidents) accords with the overwork hypothesis—fewer physicians per caseload raises fatigue and incident risk.</w:t>
      </w:r>
      <w:r>
        <w:rPr>
          <w:rFonts w:ascii="Times New Roman" w:hAnsi="Times New Roman"/>
          <w:b w:val="0"/>
          <w:i w:val="0"/>
          <w:sz w:val="20"/>
          <w:vertAlign w:val="superscript"/>
        </w:rPr>
        <w:t>23</w:t>
      </w:r>
      <w:r>
        <w:rPr>
          <w:rFonts w:ascii="Times New Roman" w:hAnsi="Times New Roman"/>
          <w:b w:val="0"/>
          <w:i w:val="0"/>
          <w:sz w:val="24"/>
        </w:rPr>
        <w:t xml:space="preserve"> That both directions reach significance in obstetrics, paediatrics, and general surgery identifies these specialties as most susceptible to self-perpetuating decline.</w:t>
      </w:r>
    </w:p>
    <w:p>
      <w:pPr>
        <w:pStyle w:val="Heading2"/>
      </w:pPr>
      <w:r>
        <w:rPr>
          <w:rFonts w:ascii="Times New Roman" w:hAnsi="Times New Roman"/>
          <w:color w:val="000000"/>
        </w:rPr>
        <w:t>Work-style reform as a compounding factor</w:t>
      </w:r>
    </w:p>
    <w:p>
      <w:pPr>
        <w:spacing w:after="120" w:line="480" w:lineRule="auto"/>
      </w:pPr>
      <w:r>
        <w:rPr>
          <w:rFonts w:ascii="Times New Roman" w:hAnsi="Times New Roman"/>
          <w:b w:val="0"/>
          <w:i w:val="0"/>
          <w:sz w:val="24"/>
        </w:rPr>
        <w:t>These incident-driven dynamics operate within a labour market reshaped by the April 2024 work-style reform (960-hour annual overtime cap, A-level; 1,860-hour transitional B/C-level).</w:t>
      </w:r>
      <w:r>
        <w:rPr>
          <w:rFonts w:ascii="Times New Roman" w:hAnsi="Times New Roman"/>
          <w:b w:val="0"/>
          <w:i w:val="0"/>
          <w:sz w:val="20"/>
          <w:vertAlign w:val="superscript"/>
        </w:rPr>
        <w:t>5</w:t>
      </w:r>
      <w:r>
        <w:rPr>
          <w:rFonts w:ascii="Times New Roman" w:hAnsi="Times New Roman"/>
          <w:b w:val="0"/>
          <w:i w:val="0"/>
          <w:sz w:val="24"/>
        </w:rPr>
        <w:t xml:space="preserve"> Restrictions on "gaikin" have eroded the income supplement that historically offset demanding hospital posts, while deemed self-study—hours reclassified as voluntary training rather than compensable labour—has shifted workload onto mid-career physicians without relieving trainee burden.</w:t>
      </w:r>
      <w:r>
        <w:rPr>
          <w:rFonts w:ascii="Times New Roman" w:hAnsi="Times New Roman"/>
          <w:b w:val="0"/>
          <w:i w:val="0"/>
          <w:sz w:val="20"/>
          <w:vertAlign w:val="superscript"/>
        </w:rPr>
        <w:t>6</w:t>
      </w:r>
      <w:r>
        <w:rPr>
          <w:rFonts w:ascii="Times New Roman" w:hAnsi="Times New Roman"/>
          <w:b w:val="0"/>
          <w:i w:val="0"/>
          <w:sz w:val="24"/>
        </w:rPr>
        <w:t xml:space="preserve"> The 3–5 year incident-response horizon identified by our IRFs thus coincides with a period of contracting financial incentives for the very specialties most affected.</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Disrupting the reinforcing cycle requires action on both pathways. On the push side, structured post-incident support, no-fault compensation mechanisms, and proportionate media reporting may blunt the deterrent signal of safety events.</w:t>
      </w:r>
      <w:r>
        <w:rPr>
          <w:rFonts w:ascii="Times New Roman" w:hAnsi="Times New Roman"/>
          <w:b w:val="0"/>
          <w:i w:val="0"/>
          <w:sz w:val="20"/>
          <w:vertAlign w:val="superscript"/>
        </w:rPr>
        <w:t>7,24</w:t>
      </w:r>
      <w:r>
        <w:rPr>
          <w:rFonts w:ascii="Times New Roman" w:hAnsi="Times New Roman"/>
          <w:b w:val="0"/>
          <w:i w:val="0"/>
          <w:sz w:val="24"/>
        </w:rPr>
        <w:t xml:space="preserve"> On the pull side, the 2024 draft restrictions on new clinic openings in physician-surplus areas may function to attenuate outflow from essential specialties. The 3–5 year effect duration estimated here defines a policy window within which combined regulatory and incentive-based measures could realistically alter trajectories.</w:t>
      </w:r>
    </w:p>
    <w:p>
      <w:pPr>
        <w:spacing w:after="120" w:line="480" w:lineRule="auto"/>
      </w:pPr>
      <w:r>
        <w:rPr>
          <w:rFonts w:ascii="Times New Roman" w:hAnsi="Times New Roman"/>
          <w:b w:val="0"/>
          <w:i w:val="0"/>
          <w:sz w:val="24"/>
        </w:rPr>
        <w:t>The projected contraction in general surgery (−230 physicians/year; −310 facilities/year) warrants particular attention given concurrent reform-driven capacity constraints. Workforce planning models should incorporate the lag parameters estimated here.</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population-level coverage from mandatory national registries across 12 specialties over up to 20 years, and a VAR/Granger framework suited to continuously varying exposures without requiring an assumed intervention point.</w:t>
      </w:r>
    </w:p>
    <w:p>
      <w:pPr>
        <w:spacing w:after="120" w:line="480" w:lineRule="auto"/>
      </w:pPr>
      <w:r>
        <w:rPr>
          <w:rFonts w:ascii="Times New Roman" w:hAnsi="Times New Roman"/>
          <w:b w:val="0"/>
          <w:i w:val="0"/>
          <w:sz w:val="24"/>
        </w:rPr>
        <w:t>Several limitations warrant consideration. The ecological design precludes individual-level causal inference. Biennial physician data required interpolation, potentially smoothing abrupt transitions. The JMSR series spans only 11 years, limiting statistical power. Unmeasured confounders—demographic shifts, the 2004 postgraduate training reform, and the direct effects of work-style reform (temporally overlapping the most recent observations)—may bias estimates. Notably, our 12-specialty framework does not capture career paths outside conventional specialty registration, such as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To the extent that migration into these sectors correlates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projections.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Safety incidents Granger-cause reductions in physician supply in 9 of 12 specialties, with effects persisting 3–5 years. Bidirectional causality in obstetrics, paediatrics, and general surgery points to a self-reinforcing shortage–incident cycle that, compounded by work-style reform and the emergence of career paths outside conventional specialty frameworks, poses a credible threat to essential medical services.</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6. Japan Medical Association. Survey on physician work-style reform implementation status. Tokyo: JMA; 2024. Japanese.</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8. Hiyama T, Yoshihara M, Tanaka S, et al. Defensive medicine practices among gastroenterologists in Japan. World J Gastroenterol. 2006;12(47):7671-5.</w:t>
      </w:r>
    </w:p>
    <w:p>
      <w:pPr>
        <w:spacing w:line="480" w:lineRule="auto" w:after="40"/>
      </w:pPr>
      <w:r>
        <w:rPr>
          <w:rFonts w:ascii="Times New Roman" w:hAnsi="Times New Roman"/>
          <w:sz w:val="20"/>
        </w:rPr>
        <w:t>9. Morita H. Criminal prosecution and physician supply. Int Rev Law Econ. 2018;55:1-11.</w:t>
      </w:r>
    </w:p>
    <w:p>
      <w:pPr>
        <w:spacing w:line="480" w:lineRule="auto" w:after="40"/>
      </w:pPr>
      <w:r>
        <w:rPr>
          <w:rFonts w:ascii="Times New Roman" w:hAnsi="Times New Roman"/>
          <w:sz w:val="20"/>
        </w:rPr>
        <w:t>10.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11. Supreme Court of Japan. Annual report of judicial statistics: medical malpractice litigation. Tokyo: Supreme Court; 2024. Japanese.</w:t>
      </w:r>
    </w:p>
    <w:p>
      <w:pPr>
        <w:spacing w:line="480" w:lineRule="auto" w:after="40"/>
      </w:pPr>
      <w:r>
        <w:rPr>
          <w:rFonts w:ascii="Times New Roman" w:hAnsi="Times New Roman"/>
          <w:sz w:val="20"/>
        </w:rPr>
        <w:t>12.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13. Granger CWJ. Investigating causal relations by econometric models and cross-spectral methods. Econometrica. 1969;37(3):424-38.</w:t>
      </w:r>
    </w:p>
    <w:p>
      <w:pPr>
        <w:spacing w:line="480" w:lineRule="auto" w:after="40"/>
      </w:pPr>
      <w:r>
        <w:rPr>
          <w:rFonts w:ascii="Times New Roman" w:hAnsi="Times New Roman"/>
          <w:sz w:val="20"/>
        </w:rPr>
        <w:t>14. Lütkepohl H. New Introduction to Multiple Time Series Analysis. Berlin: Springer; 2005.</w:t>
      </w:r>
    </w:p>
    <w:p>
      <w:pPr>
        <w:spacing w:line="480" w:lineRule="auto" w:after="40"/>
      </w:pPr>
      <w:r>
        <w:rPr>
          <w:rFonts w:ascii="Times New Roman" w:hAnsi="Times New Roman"/>
          <w:sz w:val="20"/>
        </w:rPr>
        <w:t>15. Toda HY, Yamamoto T. Statistical inference in vector autoregressions with possibly integrated processes. J Econom. 1995;66(1-2):225-50.</w:t>
      </w:r>
    </w:p>
    <w:p>
      <w:pPr>
        <w:spacing w:line="480" w:lineRule="auto" w:after="40"/>
      </w:pPr>
      <w:r>
        <w:rPr>
          <w:rFonts w:ascii="Times New Roman" w:hAnsi="Times New Roman"/>
          <w:sz w:val="20"/>
        </w:rPr>
        <w:t>16. von Elm E, Altman DG, Egger M, et al. The Strengthening the Reporting of Observational Studies in Epidemiology (STROBE) statement: guidelines for reporting observational studies. Lancet. 2007;370(9596):1453-7.</w:t>
      </w:r>
    </w:p>
    <w:p>
      <w:pPr>
        <w:spacing w:line="480" w:lineRule="auto" w:after="40"/>
      </w:pPr>
      <w:r>
        <w:rPr>
          <w:rFonts w:ascii="Times New Roman" w:hAnsi="Times New Roman"/>
          <w:sz w:val="20"/>
        </w:rPr>
        <w:t>17. Ministry of Health, Labour and Welfare. Survey of physicians, dentists, and pharmacists. Tokyo: MHLW; 2024. Japanese.</w:t>
      </w:r>
    </w:p>
    <w:p>
      <w:pPr>
        <w:spacing w:line="480" w:lineRule="auto" w:after="40"/>
      </w:pPr>
      <w:r>
        <w:rPr>
          <w:rFonts w:ascii="Times New Roman" w:hAnsi="Times New Roman"/>
          <w:sz w:val="20"/>
        </w:rPr>
        <w:t>18. Ministry of Health, Labour and Welfare. Survey of medical institutions (dynamic survey). Tokyo: MHLW; 2024. Japanese.</w:t>
      </w:r>
    </w:p>
    <w:p>
      <w:pPr>
        <w:spacing w:line="480" w:lineRule="auto" w:after="40"/>
      </w:pPr>
      <w:r>
        <w:rPr>
          <w:rFonts w:ascii="Times New Roman" w:hAnsi="Times New Roman"/>
          <w:sz w:val="20"/>
        </w:rPr>
        <w:t>19. Japan Board of Medical Specialties. Specialist trainee registration statistics. Tokyo: JBMS; 2025. Japanese.</w:t>
      </w:r>
    </w:p>
    <w:p>
      <w:pPr>
        <w:spacing w:line="480" w:lineRule="auto" w:after="40"/>
      </w:pPr>
      <w:r>
        <w:rPr>
          <w:rFonts w:ascii="Times New Roman" w:hAnsi="Times New Roman"/>
          <w:sz w:val="20"/>
        </w:rPr>
        <w:t>20. Hamilton JD. Time Series Analysis. Princeton: Princeton University Press; 1994.</w:t>
      </w:r>
    </w:p>
    <w:p>
      <w:pPr>
        <w:spacing w:line="480" w:lineRule="auto" w:after="40"/>
      </w:pPr>
      <w:r>
        <w:rPr>
          <w:rFonts w:ascii="Times New Roman" w:hAnsi="Times New Roman"/>
          <w:sz w:val="20"/>
        </w:rPr>
        <w:t>21. Sims CA. Macroeconomics and reality. Econometrica. 1980;48(1):1-48.</w:t>
      </w:r>
    </w:p>
    <w:p>
      <w:pPr>
        <w:spacing w:line="480" w:lineRule="auto" w:after="40"/>
      </w:pPr>
      <w:r>
        <w:rPr>
          <w:rFonts w:ascii="Times New Roman" w:hAnsi="Times New Roman"/>
          <w:sz w:val="20"/>
        </w:rPr>
        <w:t>22. Seabold S, Perktold J. Statsmodels: econometric and statistical modeling with Python. Proc 9th Python Sci Conf. 2010:92-6.</w:t>
      </w:r>
    </w:p>
    <w:p>
      <w:pPr>
        <w:spacing w:line="480" w:lineRule="auto" w:after="40"/>
      </w:pPr>
      <w:r>
        <w:rPr>
          <w:rFonts w:ascii="Times New Roman" w:hAnsi="Times New Roman"/>
          <w:sz w:val="20"/>
        </w:rPr>
        <w:t>23.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