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STROBE Statement—Checklist of items for cross-sectional studies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680"/>
        <w:gridCol w:w="4535"/>
        <w:gridCol w:w="3402"/>
      </w:tblGrid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Section/Topic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Item No.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Recommendation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Reported on page/section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Title and abstract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(a) Indicate the study’s design with a commonly used term in the title or abstract</w:t>
              <w:br/>
              <w:t>(b) Provide in the abstract an informative and balanced summary of what was done and what was found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Title page; Abstract (structured: Introduction, Methods, Results, Conclusions)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Introduction</w:t>
            </w:r>
          </w:p>
        </w:tc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Background/rationale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Explain the scientific background and rationale for the investigation being reported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Introduction, paragraphs 1–4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Objectives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State specific objectives, including any prespecified hypotheses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Introduction, final paragraph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Methods</w:t>
            </w:r>
          </w:p>
        </w:tc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Study design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Present key elements of study design early in the paper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Materials and Methods: Study design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Setting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Describe the setting, locations, and relevant dates, including periods of data collection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Materials and Methods: Data sources (Japan, 2002–2025)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Participants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(a) Give the eligibility criteria, and the sources and methods of selection of participants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Materials and Methods: Specialties analysed (12 specialties with sufficient 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Variables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Clearly define all outcomes, exposures, predictors, potential confounders, and effect modifiers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Materials and Methods: Data sources (incident definitions 1–2; physician/facility counts)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Data sources/measurement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For each variable of interest, give sources of data and details of methods of assessment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Materials and Methods: Data sources (JMSR, Supreme Court, MHLW surveys, JBMS)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Bias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Describe any efforts to address potential sources of bias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Materials and Methods: Statistical analysis (stationarity testing, lag selection); Discussion: Strengths and limitations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Study size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Explain how the study size was arrived at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Materials and Methods: Data sources (11–20 annual observations per series; all available data used)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Quantitative variables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Explain how quantitative variables were handled in the analyses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Materials and Methods: Statistical analysis (ADF tests, first-differencing, interpolation)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Statistical methods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(a) Describe all statistical methods</w:t>
              <w:br/>
              <w:t>(b) Describe any methods used to examine subgroups and interactions</w:t>
              <w:br/>
              <w:t>(c) Explain how missing data were addressed</w:t>
              <w:br/>
              <w:t>(d) If applicable, describe analytical methods taking account of sampling strategy</w:t>
              <w:br/>
              <w:t>(e) Describe any sensitivity analyses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(a) Statistical analysis (VAR, Granger, IRF, forecasts)</w:t>
              <w:br/>
              <w:t>(b) 12 specialties analysed separately</w:t>
              <w:br/>
              <w:t>(c) Linear interpolation for biennial data</w:t>
              <w:br/>
              <w:t>(d) N/A (population-level data)</w:t>
              <w:br/>
              <w:t>(e) JMSR-based sensitivity analysis (Table 2)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Results</w:t>
            </w:r>
          </w:p>
        </w:tc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Participants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(a) Report numbers of individuals at each stage of study</w:t>
              <w:br/>
              <w:t>(b) Give reasons for non-participation at each stage</w:t>
              <w:br/>
              <w:t>(c) Consider use of a flow diagram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(a) N/A (aggregate ecological data; 12 specialties, 47 VAR models)</w:t>
              <w:br/>
              <w:t>(b) N/A</w:t>
              <w:br/>
              <w:t>(c) N/A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Descriptive data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(a) Give characteristics of study participants and information on exposures and potential confounders</w:t>
              <w:br/>
              <w:t>(b) Indicate the number of participants with missing data for each variable of interest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(a) Results: Descriptive overview; Table 1–3</w:t>
              <w:br/>
              <w:t>(b) No missing data in aggregate national registries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Outcome data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Report numbers of outcome events or summary measures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Results: Descriptive overview (3,860 JMSR reports; litigation 1,139→746)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Main results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(a) Give unadjusted estimates and, if applicable, confounder-adjusted estimates</w:t>
              <w:br/>
              <w:t>(b) Report category boundaries when continuous variables were categorized</w:t>
              <w:br/>
              <w:t>(c) If relevant, consider translating estimates of relative risk into absolute risk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(a) Results: Granger causality tests (F-statistics, P-values); IRFs; Forecasts</w:t>
              <w:br/>
              <w:t>(b) N/A</w:t>
              <w:br/>
              <w:t>(c) Forecasts expressed as absolute physician/facility counts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Other analyses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Report other analyses done—e.g., analyses of subgroups and interactions, and sensitivity analyses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Results: JMSR sensitivity analysis (Table 2); Trainee correlations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Discussion</w:t>
            </w:r>
          </w:p>
        </w:tc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Key results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Summarise key results with reference to study objectives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Discussion, opening paragraph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Limitations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Discuss limitations of the study, taking into account sources of potential bias or imprecision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Discussion: Strengths and limitations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Interpretation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Give a cautious overall interpretation of results considering objectives, limitations, multiplicity of analyses, results from similar studies, and other relevant evidence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Discussion: Bidirectional causality; Work-style reform; Policy implications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Generalisability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Discuss the generalisability (external validity) of the study results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Discussion: Strengths and limitations (national population-level 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Other information</w:t>
            </w:r>
          </w:p>
        </w:tc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18"/>
              </w:rPr>
              <w:t>Funding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Give the source of funding and the role of the funders for the present study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18"/>
              </w:rPr>
              <w:t>Declarations: Funding (None)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