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color w:val="000000"/>
        </w:rPr>
        <w:t>表1. ICD-11における主要な疾患分類学的革新と疾患分類学的相対性フレームワークにおける予測効果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ICD-11の変更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認知的レベル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制度的レベル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集団レベル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独立した疾患実体としての慢性疼痛（MG30）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臨床医が疼痛を症状ではなく一次的診断として考慮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疼痛医学が専用の資金源とガイドラインを獲得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検出の改善に帰される慢性疼痛有病率の増加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職業的現象としてのバーンアウト（QD85）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臨床医が疲弊の症例で職業的因子をスクリーニング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産業保健サービスがバーンアウト特異的プロトコルを策定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バーンアウト有病率に関する新たな疫学データの出現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ゲーム障害（6C51）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臨床医が病的ゲームを診断可能な状態として同定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ゲーム障害の治療センターと臨床ガイドラインの発展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ゲーム障害の発生率データの生成と報告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複雑性PTSD（6B41）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臨床医がトラウマ患者で複雑性と単純性のPTSDを区別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複雑性PTSDメカニズムに特化した研究資金の配分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既存PTSD患者の再分類による有病率推定値の変化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性別不合の再分類（HA60–HA6Z）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精神疾患との認知的連合の減少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精神科サービスから離れたケア経路の再編成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スティグマ関連のケアアクセス障壁の減少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