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証明スケッチ: 有向辺 i→j での位相蓄積が鍵となる。q=0.25 では H^(q)_{ij} = i·w_{ij}, H^(q)_{ji} = -i·w_{ij} であり、固有方程式における非対称位相因子が上流・下流ノードで異なる位相蓄積を引き起こす。これはAharonov-Bohm効果に類似する。tree DAG + 線形SEMに対する厳密な証明は付録Aに記載。□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(最大心拍数→ST低下)。図1にDirectLiNGAMで推定された因果DAGを示す。</w:t>
      </w:r>
    </w:p>
    <w:p>
      <w:pPr>
        <w:jc w:val="center"/>
      </w:pPr>
      <w:r>
        <w:drawing>
          <wp:inline xmlns:a="http://schemas.openxmlformats.org/drawingml/2006/main" xmlns:pic="http://schemas.openxmlformats.org/drawingml/2006/picture">
            <wp:extent cx="3657600" cy="3998468"/>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3657600" cy="3998468"/>
                    </a:xfrm>
                    <a:prstGeom prst="rect"/>
                  </pic:spPr>
                </pic:pic>
              </a:graphicData>
            </a:graphic>
          </wp:inline>
        </w:drawing>
      </w:r>
    </w:p>
    <w:p>
      <w:pPr>
        <w:spacing w:before="120" w:after="240"/>
        <w:jc w:val="center"/>
      </w:pPr>
      <w:r>
        <w:rPr>
          <w:i/>
          <w:sz w:val="18"/>
        </w:rPr>
        <w:t>図1: DirectLiNGAM推定因果DAG (UCI心疾患データ, N=297, 臨床変数5個)。青い辺は正の因果効果、赤い辺は負の因果効果を示す。年齢が最上流変数。</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2" name="Picture 2"/>
            <wp:cNvGraphicFramePr>
              <a:graphicFrameLocks noChangeAspect="1"/>
            </wp:cNvGraphicFramePr>
            <a:graphic>
              <a:graphicData uri="http://schemas.openxmlformats.org/drawingml/2006/picture">
                <pic:pic>
                  <pic:nvPicPr>
                    <pic:cNvPr id="0" name="fig2_magnetic_laplacian_q.png"/>
                    <pic:cNvPicPr/>
                  </pic:nvPicPr>
                  <pic:blipFill>
                    <a:blip r:embed="rId10"/>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 (図4)。</w:t>
      </w:r>
    </w:p>
    <w:p>
      <w:pPr>
        <w:jc w:val="center"/>
      </w:pPr>
      <w:r>
        <w:drawing>
          <wp:inline xmlns:a="http://schemas.openxmlformats.org/drawingml/2006/main" xmlns:pic="http://schemas.openxmlformats.org/drawingml/2006/picture">
            <wp:extent cx="5029200" cy="2515806"/>
            <wp:docPr id="4" name="Picture 4"/>
            <wp:cNvGraphicFramePr>
              <a:graphicFrameLocks noChangeAspect="1"/>
            </wp:cNvGraphicFramePr>
            <a:graphic>
              <a:graphicData uri="http://schemas.openxmlformats.org/drawingml/2006/picture">
                <pic:pic>
                  <pic:nvPicPr>
                    <pic:cNvPr id="0" name="fig4_direction_comparison.png"/>
                    <pic:cNvPicPr/>
                  </pic:nvPicPr>
                  <pic:blipFill>
                    <a:blip r:embed="rId12"/>
                    <a:stretch>
                      <a:fillRect/>
                    </a:stretch>
                  </pic:blipFill>
                  <pic:spPr>
                    <a:xfrm>
                      <a:off x="0" y="0"/>
                      <a:ext cx="5029200" cy="2515806"/>
                    </a:xfrm>
                    <a:prstGeom prst="rect"/>
                  </pic:spPr>
                </pic:pic>
              </a:graphicData>
            </a:graphic>
          </wp:inline>
        </w:drawing>
      </w:r>
    </w:p>
    <w:p>
      <w:pPr>
        <w:spacing w:before="120" w:after="240"/>
        <w:jc w:val="center"/>
      </w:pPr>
      <w:r>
        <w:rPr>
          <w:i/>
          <w:sz w:val="18"/>
        </w:rPr>
        <w:t>図4: 全10変数ペアの因果方向比較。LiNGAM (赤), SCD (青), Hodgeポテンシャル (緑)。+1: 第1変数→第2変数; -1: 逆。緑背景: 3手法全てが一致。</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 (図5)。</w:t>
      </w:r>
    </w:p>
    <w:p>
      <w:pPr>
        <w:jc w:val="center"/>
      </w:pPr>
      <w:r>
        <w:drawing>
          <wp:inline xmlns:a="http://schemas.openxmlformats.org/drawingml/2006/main" xmlns:pic="http://schemas.openxmlformats.org/drawingml/2006/picture">
            <wp:extent cx="5029200" cy="2187657"/>
            <wp:docPr id="5" name="Picture 5"/>
            <wp:cNvGraphicFramePr>
              <a:graphicFrameLocks noChangeAspect="1"/>
            </wp:cNvGraphicFramePr>
            <a:graphic>
              <a:graphicData uri="http://schemas.openxmlformats.org/drawingml/2006/picture">
                <pic:pic>
                  <pic:nvPicPr>
                    <pic:cNvPr id="0" name="fig7_lingam_vs_spectral.png"/>
                    <pic:cNvPicPr/>
                  </pic:nvPicPr>
                  <pic:blipFill>
                    <a:blip r:embed="rId13"/>
                    <a:stretch>
                      <a:fillRect/>
                    </a:stretch>
                  </pic:blipFill>
                  <pic:spPr>
                    <a:xfrm>
                      <a:off x="0" y="0"/>
                      <a:ext cx="5029200" cy="2187657"/>
                    </a:xfrm>
                    <a:prstGeom prst="rect"/>
                  </pic:spPr>
                </pic:pic>
              </a:graphicData>
            </a:graphic>
          </wp:inline>
        </w:drawing>
      </w:r>
    </w:p>
    <w:p>
      <w:pPr>
        <w:spacing w:before="120" w:after="240"/>
        <w:jc w:val="center"/>
      </w:pPr>
      <w:r>
        <w:rPr>
          <w:i/>
          <w:sz w:val="18"/>
        </w:rPr>
        <w:t>図5: 三条件比較。(A) LiNGAM DAG (6辺)。(B) スペクトル因果性 α=0.6 (10有向辺, 巡回許容)。(C) スペクトル因果性 α=0 + DPI (9有向辺, ドメイン知識なし)。</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図6: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辺方向反転実験 (α=0.6, 200試行) において、r_gradient(p_flip) は p_flip ≈ 0.3 で最小値を取るU字型カーブを示し、r_gradient(0) = r_gradient(1) = 0.859 である。</w:t>
      </w:r>
    </w:p>
    <w:p>
      <w:pPr/>
      <w:r>
        <w:rPr>
          <w:b w:val="0"/>
          <w:i/>
        </w:rPr>
        <w:t>証明スケッチ: p_flip=0 では全辺が正しい方向、強いDAG構造。p_flip=1 では全辺が一貫して反転—同一 r_gradient の反転DAG。中間値 (p_flip ≈ 0.3) では前方・後方辺が混在し、回転成分を最大化する最大フラストレーションを生成。統計力学のフラストレーテッドIsing模型に類似。□</w:t>
      </w:r>
    </w:p>
    <w:p>
      <w:pPr/>
      <w:r>
        <w:rPr>
          <w:b w:val="0"/>
          <w:i w:val="0"/>
        </w:rPr>
        <w:t>DAG維持の臨界閾値 (r_gradient &gt; 0.5) は p_flip* ≈ 0.15: 辺方向の少なくとも85%が正しい必要がある。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 (図7):</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i/>
          <w:sz w:val="18"/>
        </w:rPr>
        <w:t>図7: ECDパイプライン解析。(A) ECDフローのHodge分解。(B) 因果ポテンシャル φ vs 介入可能性 ι。(C) 辺ごとのフィードバック率。(D) 知識品質 p_flip vs r_gradient のU字型カーブ。</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外生 (非介入) 変数がルート位置を占めるDAGにおいて、因果ポテンシャル φ は介入可能性 ι と負の相関を持つ。より高い φ（上流）を持つ変数は介入が困難な傾向がある。</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 (図8)。</w:t>
      </w:r>
    </w:p>
    <w:p>
      <w:pPr>
        <w:jc w:val="center"/>
      </w:pPr>
      <w:r>
        <w:drawing>
          <wp:inline xmlns:a="http://schemas.openxmlformats.org/drawingml/2006/main" xmlns:pic="http://schemas.openxmlformats.org/drawingml/2006/picture">
            <wp:extent cx="3657600" cy="1319314"/>
            <wp:docPr id="8" name="Picture 8"/>
            <wp:cNvGraphicFramePr>
              <a:graphicFrameLocks noChangeAspect="1"/>
            </wp:cNvGraphicFramePr>
            <a:graphic>
              <a:graphicData uri="http://schemas.openxmlformats.org/drawingml/2006/picture">
                <pic:pic>
                  <pic:nvPicPr>
                    <pic:cNvPr id="0" name="fig5_hill_radar.png"/>
                    <pic:cNvPicPr/>
                  </pic:nvPicPr>
                  <pic:blipFill>
                    <a:blip r:embed="rId16"/>
                    <a:stretch>
                      <a:fillRect/>
                    </a:stretch>
                  </pic:blipFill>
                  <pic:spPr>
                    <a:xfrm>
                      <a:off x="0" y="0"/>
                      <a:ext cx="3657600" cy="1319314"/>
                    </a:xfrm>
                    <a:prstGeom prst="rect"/>
                  </pic:spPr>
                </pic:pic>
              </a:graphicData>
            </a:graphic>
          </wp:inline>
        </w:drawing>
      </w:r>
    </w:p>
    <w:p>
      <w:pPr>
        <w:spacing w:before="120" w:after="240"/>
        <w:jc w:val="center"/>
      </w:pPr>
      <w:r>
        <w:rPr>
          <w:i/>
          <w:sz w:val="18"/>
        </w:rPr>
        <w:t>図8: Hillの9基準カバレッジ。LiNGAMはH1 (強さ) とH3 (特異性) をカバーするがH6/H7/H9は欠如。スペクトル因果性はユーティリティ関数を通じてH6 (妥当性), H7 (整合性), H9 (類似性) をカバー。ECDアンサンブルは両方を統合し、ほぼ完全なカバレッジを達成。</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