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7915</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A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Simulated dropout reduction yields the largest margin gain per unit proportional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[To be completed / 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w:t>
      </w:r>
      <w:r>
        <w:rPr>
          <w:vertAlign w:val="superscript"/>
        </w:rPr>
        <w:t xml:space="preserve"> 1</w:t>
      </w:r>
      <w:r>
        <w:t>.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w:t>
      </w:r>
      <w:r>
        <w:rPr>
          <w:vertAlign w:val="superscript"/>
        </w:rPr>
        <w:t xml:space="preserve"> 1</w:t>
      </w:r>
      <w:r>
        <w:t>.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four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r>
        <w:rPr>
          <w:vertAlign w:val="superscript"/>
        </w:rPr>
        <w:t xml:space="preserve">1 </w:t>
      </w:r>
      <w:r>
        <w:t>Yamada Y (momentumyy). 海外で当てた研究者はその後どうなるのか. note.com, 2026. https://note.com/momentumyy/n/n86df5d34282d (accessed 2026-08-09).</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point of no return.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the active researcher pool,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All 2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1117.0</w:t>
            </w:r>
          </w:p>
        </w:tc>
        <w:tc>
          <w:tcPr>
            <w:tcW w:type="dxa" w:w="1234"/>
          </w:tcPr>
          <w:p>
            <w:r>
              <w:t>791.3</w:t>
            </w:r>
          </w:p>
        </w:tc>
        <w:tc>
          <w:tcPr>
            <w:tcW w:type="dxa" w:w="1234"/>
          </w:tcPr>
          <w:p>
            <w:r>
              <w:t>-29.2</w:t>
            </w:r>
          </w:p>
        </w:tc>
        <w:tc>
          <w:tcPr>
            <w:tcW w:type="dxa" w:w="1234"/>
          </w:tcPr>
          <w:p>
            <w:r>
              <w:t>987.9</w:t>
            </w:r>
          </w:p>
        </w:tc>
        <w:tc>
          <w:tcPr>
            <w:tcW w:type="dxa" w:w="1234"/>
          </w:tcPr>
          <w:p>
            <w:r>
              <w:t>662.2</w:t>
            </w:r>
          </w:p>
        </w:tc>
        <w:tc>
          <w:tcPr>
            <w:tcW w:type="dxa" w:w="1234"/>
          </w:tcPr>
          <w:p>
            <w:r>
              <w:t>-325.7</w:t>
            </w:r>
          </w:p>
        </w:tc>
      </w:tr>
      <w:tr>
        <w:tc>
          <w:tcPr>
            <w:tcW w:type="dxa" w:w="1234"/>
          </w:tcPr>
          <w:p>
            <w:r>
              <w:t>Sinic</w:t>
            </w:r>
          </w:p>
        </w:tc>
        <w:tc>
          <w:tcPr>
            <w:tcW w:type="dxa" w:w="1234"/>
          </w:tcPr>
          <w:p>
            <w:r>
              <w:t>1392.6</w:t>
            </w:r>
          </w:p>
        </w:tc>
        <w:tc>
          <w:tcPr>
            <w:tcW w:type="dxa" w:w="1234"/>
          </w:tcPr>
          <w:p>
            <w:r>
              <w:t>936.4</w:t>
            </w:r>
          </w:p>
        </w:tc>
        <w:tc>
          <w:tcPr>
            <w:tcW w:type="dxa" w:w="1234"/>
          </w:tcPr>
          <w:p>
            <w:r>
              <w:t>-32.8</w:t>
            </w:r>
          </w:p>
        </w:tc>
        <w:tc>
          <w:tcPr>
            <w:tcW w:type="dxa" w:w="1234"/>
          </w:tcPr>
          <w:p>
            <w:r>
              <w:t>1280.3</w:t>
            </w:r>
          </w:p>
        </w:tc>
        <w:tc>
          <w:tcPr>
            <w:tcW w:type="dxa" w:w="1234"/>
          </w:tcPr>
          <w:p>
            <w:r>
              <w:t>824.1</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point of no return.</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All 2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Limitations</w:t>
      </w:r>
    </w:p>
    <w:p>
      <w:r>
        <w:t>Several limitations should be acknowledged. OpenAlex affiliation and country assignments are noisy, especially for researchers with multiple affiliations. The civilisation grouping is a coarse aggregation; within-group heterogeneity is substantial. The model is a steady-state ODE and does not capture short-term dynamics, cross-civilisation spillovers, or the non-linear effects of network externalities.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point of no return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