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1-1-1, Bamba, Hikone, Shiga, 522-8522 Japan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Telephone: +81-749-27-1023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E-mail: bougtoir@gmail.com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ORCID: 0000-0001-7261-9062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11 June 2026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Editor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/>
          <w:sz w:val="24"/>
        </w:rPr>
        <w:t>Journal of Economic Growth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Dear Professor Galor,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am pleased to submit for your consideration the enclosed manuscript, </w:t>
      </w:r>
      <w:r>
        <w:rPr>
          <w:rFonts w:ascii="Times New Roman" w:hAnsi="Times New Roman" w:eastAsia="MS Mincho"/>
          <w:b/>
          <w:i w:val="0"/>
          <w:sz w:val="24"/>
        </w:rPr>
        <w:t>"What the Solow Residual Has Been Hiding: Tempo Drift and the Missing Intangible Share in National Capital Stocks"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for publication in the </w:t>
      </w:r>
      <w:r>
        <w:rPr>
          <w:rFonts w:ascii="Times New Roman" w:hAnsi="Times New Roman" w:eastAsia="MS Mincho"/>
          <w:b w:val="0"/>
          <w:i/>
          <w:sz w:val="24"/>
        </w:rPr>
        <w:t>Journal of Economic Growth</w:t>
      </w:r>
      <w:r>
        <w:rPr>
          <w:rFonts w:ascii="Times New Roman" w:hAnsi="Times New Roman" w:eastAsia="MS Mincho"/>
          <w:b w:val="0"/>
          <w:i w:val="0"/>
          <w:sz w:val="24"/>
        </w:rPr>
        <w:t>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The paper addresses a fundamental question in growth accounting: how much of what we call TFP is a genuine productivity residual, and how much is a book-keeping artefact of mis-timed capital stocks and omitted intangibles? I show that two parameters — a time-varying investment-to-output lag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(t) and an intangible-capital share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— jointly account for a measurable share of measured TFP variation across 39 OECD and middle-income economies (Penn World Table 10.01, World Bank CWON, 1995–2019). Letting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drift reduces out-of-sample GDP forecast error by 13 %, and a Solow-residual decomposition reveals that up to 30 % of TFP-growth variance can be re-attributed to tempo drift and missing intangibles rather than genuine innovation. When both corrections are applied, production-side (flow) and wealth-side (stock) national accounts agree to within 1–2 % for most countries — the first empirical success, to my knowledge, of the "unified national-wealth accounting" programme that Stiglitz, Sen, and Fitoussi (2009) called for.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believe this work is well suited to the </w:t>
      </w:r>
      <w:r>
        <w:rPr>
          <w:rFonts w:ascii="Times New Roman" w:hAnsi="Times New Roman" w:eastAsia="MS Mincho"/>
          <w:b w:val="0"/>
          <w:i/>
          <w:sz w:val="24"/>
        </w:rPr>
        <w:t>Journal of Economic Growth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for three reasons. First, it addresses the measurement foundations of long-run growth accounting — specifically, how the Solow residual confounds genuine productivity innovation with book-keeping artefacts arising from mis-timed capital stocks and omitted intangibles. This is a topic of central importance to the growth-accounting tradition that the </w:t>
      </w:r>
      <w:r>
        <w:rPr>
          <w:rFonts w:ascii="Times New Roman" w:hAnsi="Times New Roman" w:eastAsia="MS Mincho"/>
          <w:b w:val="0"/>
          <w:i/>
          <w:sz w:val="24"/>
        </w:rPr>
        <w:t>Journal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has advanced since its founding. Second, the identification strategy exploits a structural analogy with the demographic tempo literature (Bongaarts &amp; Feeney, 1998; Goldstein, Lutz, &amp; Scherbov, 2003), generating falsifiable predictions that are confirmed by the data: the joint flow–stock loss function collapses the (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>) parameter space from a broad ridge to a point for 28 of 39 countries, and the resulting parameter estimates move in the directions predicted by economic theory. The tempo adjustment was itself a neglected insight within demography — dormant from the 1970s until its 1998 revival — and to the best of my knowledge this paper is the first to transplant the framework to capital accounting and GDP measurement, a domain where the quantitative stakes are orders of magnitude larger. Third, the counterfactual wealth calculations have concrete implications for the Beyond-GDP debate, showing that official statistics systematically understate the productive capital base of innovation-intensive economies by 0.3–1.1 %.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manuscript is approximately 10,000 words of body text, with eleven figures and five tables.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confirm the following:</w:t>
      </w:r>
    </w:p>
    <w:p>
      <w:pPr>
        <w:spacing w:after="0" w:before="0" w:line="360" w:lineRule="auto"/>
      </w:pP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This work is original and has not been published elsewhere.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The manuscript is not under consideration by any other journal.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All data sources (Penn World Table 10.01; World Bank CWON; World Bank WDI) are publicly available; analysis code and intermediate outputs are archived in the public companion repository.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am the sole author.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have no competing interests, financial or otherwise, related to this work.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used generative AI to assist with formatting the text, choosing words, and writing analysis code; this is documented in the manuscript.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would be grateful for your consideration.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Yours sincerely,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bougtoir@gmail.com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