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 w:eastAsia="MS Mincho"/>
          <w:b/>
          <w:i w:val="0"/>
          <w:sz w:val="28"/>
        </w:rPr>
        <w:t>Table 5. Tempo-artifact share of TFP-growth variance.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</w:t>
            </w:r>
            <w:r>
              <w:rPr>
                <w:rFonts w:ascii="Times New Roman" w:hAnsi="Times New Roman" w:eastAsia="MS Mincho"/>
                <w:b/>
                <w:i/>
                <w:sz w:val="20"/>
                <w:vertAlign w:val="subscript"/>
              </w:rPr>
              <w:t>j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Var(dTFP) M0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Var(dTFP) M2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Tempo share %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Joint share %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Cum TFP M0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Cum TFP M4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Chile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19.66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19.33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China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32.77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12.83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36.52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34.29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-53.3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13.38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17.15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93.27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90.35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54.26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51.29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0.534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1.143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7.96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1.496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0.546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0.547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9.58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0.733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Switzerland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Turkey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-16.0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