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of this relationship remain poorly quantified. In Japan, physician workforce maldistribution has intensified amid the 2024 work-style reform, yet the temporal relationship between safety incidents and specialty-specific workforce supply has not been formally tested.</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two national incident series—mandatory safety reports (2015–2025) and malpractice litigation statistics (2004–2023)—paired with physician and facility counts from national surveys. Granger causality F-tests, impulse response functions, and VAR-based forecasts were computed.</w:t>
      </w:r>
    </w:p>
    <w:p>
      <w:pPr>
        <w:spacing w:line="480" w:lineRule="auto" w:after="120"/>
      </w:pPr>
      <w:r>
        <w:rPr>
          <w:rFonts w:ascii="Times New Roman" w:hAnsi="Times New Roman"/>
          <w:b/>
          <w:sz w:val="24"/>
        </w:rPr>
        <w:t xml:space="preserve">Results: </w:t>
      </w:r>
      <w:r>
        <w:rPr>
          <w:rFonts w:ascii="Times New Roman" w:hAnsi="Times New Roman"/>
          <w:b w:val="0"/>
          <w:i w:val="0"/>
          <w:sz w:val="24"/>
        </w:rPr>
        <w:t>Of 47 VAR models, 20 showed significant forward Granger causality (incidents → workforce; P &lt; 0.05). Obstetrics and gynaecology exhibited the strongest association (F = 46.66, P &lt; 0.001). Bidirectional causality was observed in 7 specialty–outcome pairs. Impulse response functions indicated that a litigation shock reduced physician supply for 3–5 years. General surgery physicians are projected to decline by approximately 230 per year through 2033.</w:t>
      </w:r>
    </w:p>
    <w:p>
      <w:pPr>
        <w:spacing w:line="480" w:lineRule="auto" w:after="120"/>
      </w:pPr>
      <w:r>
        <w:rPr>
          <w:rFonts w:ascii="Times New Roman" w:hAnsi="Times New Roman"/>
          <w:b/>
          <w:sz w:val="24"/>
        </w:rPr>
        <w:t xml:space="preserve">Conclusions: </w:t>
      </w:r>
      <w:r>
        <w:rPr>
          <w:rFonts w:ascii="Times New Roman" w:hAnsi="Times New Roman"/>
          <w:b w:val="0"/>
          <w:i w:val="0"/>
          <w:sz w:val="24"/>
        </w:rPr>
        <w:t>Medical safety incidents Granger-cause reductions in physician supply across most specialties, with effects lasting 3–5 years. Combined with work-style reform constraints, these findings highlight an accelerating workforce crisis requiring integrated policy responses.</w:t>
      </w:r>
    </w:p>
    <w:p>
      <w:pPr>
        <w:spacing w:after="360" w:line="480" w:lineRule="auto"/>
      </w:pPr>
      <w:r>
        <w:rPr>
          <w:rFonts w:ascii="Times New Roman" w:hAnsi="Times New Roman"/>
          <w:b w:val="0"/>
          <w:i/>
          <w:sz w:val="24"/>
        </w:rPr>
        <w:t>Key words: physician workforce, Granger causality, medical safety incidents, specialty maldistribution, work-style reform,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healthcare system faces a deepening crisis of physician workforce maldistribution across specialties and geographic regions.</w:t>
      </w:r>
      <w:r>
        <w:rPr>
          <w:rFonts w:ascii="Times New Roman" w:hAnsi="Times New Roman"/>
          <w:b w:val="0"/>
          <w:i w:val="0"/>
          <w:sz w:val="20"/>
          <w:vertAlign w:val="superscript"/>
        </w:rPr>
        <w:t>1,2</w:t>
      </w:r>
      <w:r>
        <w:rPr>
          <w:rFonts w:ascii="Times New Roman" w:hAnsi="Times New Roman"/>
          <w:b w:val="0"/>
          <w:i w:val="0"/>
          <w:sz w:val="24"/>
        </w:rPr>
        <w:t xml:space="preserve"> While the total number of physicians has grown steadily, reaching approximately 340,000 in 2022, this aggregate growth masks critical shortages in essential specialties such as general surgery, obstetrics, emergency medicine, and paediatrics.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In parallel, the April 2024 implementation of physician work-style reform (time-based overtime caps of 960 hours annually) has restricted "gaikin" (moonlighting opportunities) that previously supplemented income in lower-paying hospital posts.</w:t>
      </w:r>
      <w:r>
        <w:rPr>
          <w:rFonts w:ascii="Times New Roman" w:hAnsi="Times New Roman"/>
          <w:b w:val="0"/>
          <w:i w:val="0"/>
          <w:sz w:val="20"/>
          <w:vertAlign w:val="superscript"/>
        </w:rPr>
        <w:t>5,6</w:t>
      </w:r>
      <w:r>
        <w:rPr>
          <w:rFonts w:ascii="Times New Roman" w:hAnsi="Times New Roman"/>
          <w:b w:val="0"/>
          <w:i w:val="0"/>
          <w:sz w:val="24"/>
        </w:rPr>
        <w:t xml:space="preserve"> These regulatory changes may interact with safety-incident-driven workforce dynamics, yet existing evidence is limited to single-event, single-specialty case studies.</w:t>
      </w:r>
    </w:p>
    <w:p>
      <w:pPr>
        <w:spacing w:after="120" w:line="480" w:lineRule="auto"/>
      </w:pPr>
      <w:r>
        <w:rPr>
          <w:rFonts w:ascii="Times New Roman" w:hAnsi="Times New Roman"/>
          <w:b w:val="0"/>
          <w:i w:val="0"/>
          <w:sz w:val="24"/>
        </w:rPr>
        <w:t>The role of medical safety incidents as a push factor driving physicians away from high-risk specialties has been discussed since the landmark 2004 Fukushima obstetrics prosecution, in which an obstetrician was arrested following a maternal death during caesarean section.</w:t>
      </w:r>
      <w:r>
        <w:rPr>
          <w:rFonts w:ascii="Times New Roman" w:hAnsi="Times New Roman"/>
          <w:b w:val="0"/>
          <w:i w:val="0"/>
          <w:sz w:val="20"/>
          <w:vertAlign w:val="superscript"/>
        </w:rPr>
        <w:t>7,8</w:t>
      </w:r>
      <w:r>
        <w:rPr>
          <w:rFonts w:ascii="Times New Roman" w:hAnsi="Times New Roman"/>
          <w:b w:val="0"/>
          <w:i w:val="0"/>
          <w:sz w:val="24"/>
        </w:rPr>
        <w:t xml:space="preserve"> Morita estimated a 13% decrease in obstetricians in the affected prefecture using difference-in-differences analysis.</w:t>
      </w:r>
      <w:r>
        <w:rPr>
          <w:rFonts w:ascii="Times New Roman" w:hAnsi="Times New Roman"/>
          <w:b w:val="0"/>
          <w:i w:val="0"/>
          <w:sz w:val="20"/>
          <w:vertAlign w:val="superscript"/>
        </w:rPr>
        <w:t>9</w:t>
      </w:r>
      <w:r>
        <w:rPr>
          <w:rFonts w:ascii="Times New Roman" w:hAnsi="Times New Roman"/>
          <w:b w:val="0"/>
          <w:i w:val="0"/>
          <w:sz w:val="24"/>
        </w:rPr>
        <w:t xml:space="preserve"> However, this analysis was limited to a single event, specialty, and geographic area. Broader evidence linking incident trends to workforce dynamics across multiple specialties remains scarce.</w:t>
      </w:r>
    </w:p>
    <w:p>
      <w:pPr>
        <w:spacing w:after="120" w:line="480" w:lineRule="auto"/>
      </w:pPr>
      <w:r>
        <w:rPr>
          <w:rFonts w:ascii="Times New Roman" w:hAnsi="Times New Roman"/>
          <w:b w:val="0"/>
          <w:i w:val="0"/>
          <w:sz w:val="24"/>
        </w:rPr>
        <w:t>Japan possesses two complementary national data sources on medical safety incidents: the Japan Medical Safety Research Organisation (JMSR) mandatory reporting system established in 2015,</w:t>
      </w:r>
      <w:r>
        <w:rPr>
          <w:rFonts w:ascii="Times New Roman" w:hAnsi="Times New Roman"/>
          <w:b w:val="0"/>
          <w:i w:val="0"/>
          <w:sz w:val="20"/>
          <w:vertAlign w:val="superscript"/>
        </w:rPr>
        <w:t>10</w:t>
      </w:r>
      <w:r>
        <w:rPr>
          <w:rFonts w:ascii="Times New Roman" w:hAnsi="Times New Roman"/>
          <w:b w:val="0"/>
          <w:i w:val="0"/>
          <w:sz w:val="24"/>
        </w:rPr>
        <w:t xml:space="preserve"> and the Supreme Court annual statistics on medical malpractice litigation by specialty.</w:t>
      </w:r>
      <w:r>
        <w:rPr>
          <w:rFonts w:ascii="Times New Roman" w:hAnsi="Times New Roman"/>
          <w:b w:val="0"/>
          <w:i w:val="0"/>
          <w:sz w:val="20"/>
          <w:vertAlign w:val="superscript"/>
        </w:rPr>
        <w:t>11,12</w:t>
      </w:r>
      <w:r>
        <w:rPr>
          <w:rFonts w:ascii="Times New Roman" w:hAnsi="Times New Roman"/>
          <w:b w:val="0"/>
          <w:i w:val="0"/>
          <w:sz w:val="24"/>
        </w:rPr>
        <w:t xml:space="preserve"> Combined with biennial national physician surveys and annual facility registrations, these data enable a systematic, multi-specialty analysis.</w:t>
      </w:r>
    </w:p>
    <w:p>
      <w:pPr>
        <w:spacing w:after="120" w:line="480" w:lineRule="auto"/>
      </w:pPr>
      <w:r>
        <w:rPr>
          <w:rFonts w:ascii="Times New Roman" w:hAnsi="Times New Roman"/>
          <w:b w:val="0"/>
          <w:i w:val="0"/>
          <w:sz w:val="24"/>
        </w:rPr>
        <w:t>Previous analyses, including our own, relied on interrupted time series (ITS) methodology,</w:t>
      </w:r>
      <w:r>
        <w:rPr>
          <w:rFonts w:ascii="Times New Roman" w:hAnsi="Times New Roman"/>
          <w:b w:val="0"/>
          <w:i w:val="0"/>
          <w:sz w:val="20"/>
          <w:vertAlign w:val="superscript"/>
        </w:rPr>
        <w:t>13</w:t>
      </w:r>
      <w:r>
        <w:rPr>
          <w:rFonts w:ascii="Times New Roman" w:hAnsi="Times New Roman"/>
          <w:b w:val="0"/>
          <w:i w:val="0"/>
          <w:sz w:val="24"/>
        </w:rPr>
        <w:t xml:space="preserve"> which assumes a discrete exogenous intervention point poorly suited to continuously varying incident counts. We therefore applied vector autoregression (VAR) models and Granger causality tests—methods widely used in econometrics and increasingly in health policy research</w:t>
      </w:r>
      <w:r>
        <w:rPr>
          <w:rFonts w:ascii="Times New Roman" w:hAnsi="Times New Roman"/>
          <w:b w:val="0"/>
          <w:i w:val="0"/>
          <w:sz w:val="20"/>
          <w:vertAlign w:val="superscript"/>
        </w:rPr>
        <w:t>14–16</w:t>
      </w:r>
      <w:r>
        <w:rPr>
          <w:rFonts w:ascii="Times New Roman" w:hAnsi="Times New Roman"/>
          <w:b w:val="0"/>
          <w:i w:val="0"/>
          <w:sz w:val="24"/>
        </w:rPr>
        <w:t>—to formally test whether medical safety incidents temporally precede and predict changes in specialty-specific physician and facility counts.</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We conducted a secondary analysis of routinely collected national administrative data from Japan using bivariate VAR models and Granger causality tests. This study is reported in accordance with the RECORD (REporting of studies Conducted using Observational Routinely-collected health Data) statement.</w:t>
      </w:r>
      <w:r>
        <w:rPr>
          <w:rFonts w:ascii="Times New Roman" w:hAnsi="Times New Roman"/>
          <w:b w:val="0"/>
          <w:i w:val="0"/>
          <w:sz w:val="20"/>
          <w:vertAlign w:val="superscript"/>
        </w:rPr>
        <w:t>17</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10</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11</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18</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19</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20</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in both directions using F-tests on lagged coefficients.</w:t>
      </w:r>
      <w:r>
        <w:rPr>
          <w:rFonts w:ascii="Times New Roman" w:hAnsi="Times New Roman"/>
          <w:b w:val="0"/>
          <w:i w:val="0"/>
          <w:sz w:val="20"/>
          <w:vertAlign w:val="superscript"/>
        </w:rPr>
        <w:t>21</w:t>
      </w:r>
      <w:r>
        <w:rPr>
          <w:rFonts w:ascii="Times New Roman" w:hAnsi="Times New Roman"/>
          <w:b w:val="0"/>
          <w:i w:val="0"/>
          <w:sz w:val="24"/>
        </w:rPr>
        <w:t xml:space="preserve"> The null hypothesis for the forward test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22</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years), detrended Pearson correlations between JMSR incidents and enrolment were computed. All analyses used Python 3.10 with statsmodels 0.14.</w:t>
      </w:r>
      <w:r>
        <w:rPr>
          <w:rFonts w:ascii="Times New Roman" w:hAnsi="Times New Roman"/>
          <w:b w:val="0"/>
          <w:i w:val="0"/>
          <w:sz w:val="20"/>
          <w:vertAlign w:val="superscript"/>
        </w:rPr>
        <w:t>23</w:t>
      </w:r>
      <w:r>
        <w:rPr>
          <w:rFonts w:ascii="Times New Roman" w:hAnsi="Times New Roman"/>
          <w:b w:val="0"/>
          <w:i w:val="0"/>
          <w:sz w:val="24"/>
        </w:rPr>
        <w:t xml:space="preserve"> Code and data are available at https://github.com/bougtoir/medical-accident-its-analysis.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Between 2015 and 2025, the JMSR received 3,860 reports across the 12 specialties, with general surgery (n = 520), internal medicine (n = 479), and orthopaedic surgery (n = 310) recording the highest volumes. Medical malpractice litigation declined from 1,139 cases in 2004 to 746 in 2023 overall, although trends varied substantially by specialty (Figure 1).</w:t>
      </w:r>
    </w:p>
    <w:p>
      <w:pPr>
        <w:spacing w:before="240" w:after="120" w:line="480" w:lineRule="auto"/>
      </w:pPr>
      <w:r>
        <w:rPr>
          <w:rFonts w:ascii="Times New Roman" w:hAnsi="Times New Roman"/>
          <w:b/>
          <w:sz w:val="20"/>
        </w:rPr>
        <w:t>Figure 1. Trends in medical safety incident counts by specialty.</w:t>
      </w:r>
    </w:p>
    <w:p>
      <w:pPr>
        <w:jc w:val="center"/>
      </w:pPr>
      <w:r>
        <w:drawing>
          <wp:inline xmlns:a="http://schemas.openxmlformats.org/drawingml/2006/main" xmlns:pic="http://schemas.openxmlformats.org/drawingml/2006/picture">
            <wp:extent cx="5029200" cy="5543311"/>
            <wp:docPr id="1" name="Picture 1"/>
            <wp:cNvGraphicFramePr>
              <a:graphicFrameLocks noChangeAspect="1"/>
            </wp:cNvGraphicFramePr>
            <a:graphic>
              <a:graphicData uri="http://schemas.openxmlformats.org/drawingml/2006/picture">
                <pic:pic>
                  <pic:nvPicPr>
                    <pic:cNvPr id="0" name="fig4_accident_trends.png"/>
                    <pic:cNvPicPr/>
                  </pic:nvPicPr>
                  <pic:blipFill>
                    <a:blip r:embed="rId9"/>
                    <a:stretch>
                      <a:fillRect/>
                    </a:stretch>
                  </pic:blipFill>
                  <pic:spPr>
                    <a:xfrm>
                      <a:off x="0" y="0"/>
                      <a:ext cx="5029200" cy="5543311"/>
                    </a:xfrm>
                    <a:prstGeom prst="rect"/>
                  </pic:spPr>
                </pic:pic>
              </a:graphicData>
            </a:graphic>
          </wp:inline>
        </w:drawing>
      </w:r>
    </w:p>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shows IRFs for physician counts in response to a one-unit litigation shock for six key specialties. Obstetrics and gynaecology demonstrated a sustained negative response peaking at 2–3 years and persisting for approximately 5 years. General surgery showed a similar pattern attenuating by year 4. Facility-count IRFs are shown in Figure 3.</w:t>
      </w:r>
    </w:p>
    <w:p>
      <w:pPr>
        <w:spacing w:before="240" w:after="120" w:line="480" w:lineRule="auto"/>
      </w:pPr>
      <w:r>
        <w:rPr>
          <w:rFonts w:ascii="Times New Roman" w:hAnsi="Times New Roman"/>
          <w:b/>
          <w:sz w:val="20"/>
        </w:rPr>
        <w:t>Figure 2. IRF: physician count response to a one-unit litigation shock.</w:t>
      </w:r>
    </w:p>
    <w:p>
      <w:pPr>
        <w:jc w:val="center"/>
      </w:pPr>
      <w:r>
        <w:drawing>
          <wp:inline xmlns:a="http://schemas.openxmlformats.org/drawingml/2006/main" xmlns:pic="http://schemas.openxmlformats.org/drawingml/2006/picture">
            <wp:extent cx="5029200" cy="5927271"/>
            <wp:docPr id="2" name="Picture 2"/>
            <wp:cNvGraphicFramePr>
              <a:graphicFrameLocks noChangeAspect="1"/>
            </wp:cNvGraphicFramePr>
            <a:graphic>
              <a:graphicData uri="http://schemas.openxmlformats.org/drawingml/2006/picture">
                <pic:pic>
                  <pic:nvPicPr>
                    <pic:cNvPr id="0" name="fig2_irf_physicians.png"/>
                    <pic:cNvPicPr/>
                  </pic:nvPicPr>
                  <pic:blipFill>
                    <a:blip r:embed="rId10"/>
                    <a:stretch>
                      <a:fillRect/>
                    </a:stretch>
                  </pic:blipFill>
                  <pic:spPr>
                    <a:xfrm>
                      <a:off x="0" y="0"/>
                      <a:ext cx="5029200" cy="5927271"/>
                    </a:xfrm>
                    <a:prstGeom prst="rect"/>
                  </pic:spPr>
                </pic:pic>
              </a:graphicData>
            </a:graphic>
          </wp:inline>
        </w:drawing>
      </w:r>
    </w:p>
    <w:p/>
    <w:p>
      <w:pPr>
        <w:spacing w:before="240" w:after="120" w:line="480" w:lineRule="auto"/>
      </w:pPr>
      <w:r>
        <w:rPr>
          <w:rFonts w:ascii="Times New Roman" w:hAnsi="Times New Roman"/>
          <w:b/>
          <w:sz w:val="20"/>
        </w:rPr>
        <w:t>Figure 3. IRF: facility count response to a one-unit litigation shock.</w:t>
      </w:r>
    </w:p>
    <w:p>
      <w:pPr>
        <w:jc w:val="center"/>
      </w:pPr>
      <w:r>
        <w:drawing>
          <wp:inline xmlns:a="http://schemas.openxmlformats.org/drawingml/2006/main" xmlns:pic="http://schemas.openxmlformats.org/drawingml/2006/picture">
            <wp:extent cx="5029200" cy="5927271"/>
            <wp:docPr id="3" name="Picture 3"/>
            <wp:cNvGraphicFramePr>
              <a:graphicFrameLocks noChangeAspect="1"/>
            </wp:cNvGraphicFramePr>
            <a:graphic>
              <a:graphicData uri="http://schemas.openxmlformats.org/drawingml/2006/picture">
                <pic:pic>
                  <pic:nvPicPr>
                    <pic:cNvPr id="0" name="sfig1_irf_facilities.png"/>
                    <pic:cNvPicPr/>
                  </pic:nvPicPr>
                  <pic:blipFill>
                    <a:blip r:embed="rId11"/>
                    <a:stretch>
                      <a:fillRect/>
                    </a:stretch>
                  </pic:blipFill>
                  <pic:spPr>
                    <a:xfrm>
                      <a:off x="0" y="0"/>
                      <a:ext cx="5029200" cy="5927271"/>
                    </a:xfrm>
                    <a:prstGeom prst="rect"/>
                  </pic:spPr>
                </pic:pic>
              </a:graphicData>
            </a:graphic>
          </wp:inline>
        </w:drawing>
      </w:r>
    </w:p>
    <w:p/>
    <w:p>
      <w:r>
        <w:br w:type="page"/>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Pr>
        <w:spacing w:before="240" w:after="120" w:line="480" w:lineRule="auto"/>
      </w:pPr>
      <w:r>
        <w:rPr>
          <w:rFonts w:ascii="Times New Roman" w:hAnsi="Times New Roman"/>
          <w:b/>
          <w:sz w:val="20"/>
        </w:rPr>
        <w:t>Figure 4. VAR-based forecasts of physician and facility counts (2024–2033).</w:t>
      </w:r>
    </w:p>
    <w:p>
      <w:pPr>
        <w:jc w:val="center"/>
      </w:pPr>
      <w:r>
        <w:drawing>
          <wp:inline xmlns:a="http://schemas.openxmlformats.org/drawingml/2006/main" xmlns:pic="http://schemas.openxmlformats.org/drawingml/2006/picture">
            <wp:extent cx="5029200" cy="5925851"/>
            <wp:docPr id="4" name="Picture 4"/>
            <wp:cNvGraphicFramePr>
              <a:graphicFrameLocks noChangeAspect="1"/>
            </wp:cNvGraphicFramePr>
            <a:graphic>
              <a:graphicData uri="http://schemas.openxmlformats.org/drawingml/2006/picture">
                <pic:pic>
                  <pic:nvPicPr>
                    <pic:cNvPr id="0" name="fig3_var_forecasts.png"/>
                    <pic:cNvPicPr/>
                  </pic:nvPicPr>
                  <pic:blipFill>
                    <a:blip r:embed="rId12"/>
                    <a:stretch>
                      <a:fillRect/>
                    </a:stretch>
                  </pic:blipFill>
                  <pic:spPr>
                    <a:xfrm>
                      <a:off x="0" y="0"/>
                      <a:ext cx="5029200" cy="5925851"/>
                    </a:xfrm>
                    <a:prstGeom prst="rect"/>
                  </pic:spPr>
                </pic:pic>
              </a:graphicData>
            </a:graphic>
          </wp:inline>
        </w:drawing>
      </w:r>
    </w:p>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This study provides the first multi-specialty application of Granger causality testing to the relationship between medical safety incidents and physician workforce dynamics. Litigation statistics Granger-caused physician counts in 9 of 12 specialties and facility counts in 9 of 12, with obstetrics and gynaecology showing the strongest association (F = 46.66, P &lt; 0.001).</w:t>
      </w:r>
    </w:p>
    <w:p>
      <w:pPr>
        <w:spacing w:after="120" w:line="480" w:lineRule="auto"/>
      </w:pPr>
      <w:r>
        <w:rPr>
          <w:rFonts w:ascii="Times New Roman" w:hAnsi="Times New Roman"/>
          <w:b w:val="0"/>
          <w:i w:val="0"/>
          <w:sz w:val="24"/>
        </w:rPr>
        <w:t>The VAR/Granger framework addresses key limitations of prior ITS analyses:</w:t>
      </w:r>
      <w:r>
        <w:rPr>
          <w:rFonts w:ascii="Times New Roman" w:hAnsi="Times New Roman"/>
          <w:b w:val="0"/>
          <w:i w:val="0"/>
          <w:sz w:val="20"/>
          <w:vertAlign w:val="superscript"/>
        </w:rPr>
        <w:t>13</w:t>
      </w:r>
      <w:r>
        <w:rPr>
          <w:rFonts w:ascii="Times New Roman" w:hAnsi="Times New Roman"/>
          <w:b w:val="0"/>
          <w:i w:val="0"/>
          <w:sz w:val="24"/>
        </w:rPr>
        <w:t xml:space="preserve"> it does not require an exogenous intervention point, provides formal predictive-causality tests, controls for shared trends through stationarity testing, and generates multivariate forecasts grounded in estimated dynamics.</w:t>
      </w:r>
    </w:p>
    <w:p>
      <w:pPr>
        <w:pStyle w:val="Heading2"/>
      </w:pPr>
      <w:r>
        <w:rPr>
          <w:rFonts w:ascii="Times New Roman" w:hAnsi="Times New Roman"/>
          <w:color w:val="000000"/>
        </w:rPr>
        <w:t>Bidirectional causality and the vicious cycle</w:t>
      </w:r>
    </w:p>
    <w:p>
      <w:pPr>
        <w:spacing w:after="120" w:line="480" w:lineRule="auto"/>
      </w:pPr>
      <w:r>
        <w:rPr>
          <w:rFonts w:ascii="Times New Roman" w:hAnsi="Times New Roman"/>
          <w:b w:val="0"/>
          <w:i w:val="0"/>
          <w:sz w:val="24"/>
        </w:rPr>
        <w:t>Bidirectional Granger causality in 7 specialty–outcome combinations suggests a reinforcing cycle. Forward causality (incidents → workforce decline) reflects "incident avoidance": high-profile safety events deter specialty entry and accelerate exit.</w:t>
      </w:r>
      <w:r>
        <w:rPr>
          <w:rFonts w:ascii="Times New Roman" w:hAnsi="Times New Roman"/>
          <w:b w:val="0"/>
          <w:i w:val="0"/>
          <w:sz w:val="20"/>
          <w:vertAlign w:val="superscript"/>
        </w:rPr>
        <w:t>1,9</w:t>
      </w:r>
      <w:r>
        <w:rPr>
          <w:rFonts w:ascii="Times New Roman" w:hAnsi="Times New Roman"/>
          <w:b w:val="0"/>
          <w:i w:val="0"/>
          <w:sz w:val="24"/>
        </w:rPr>
        <w:t xml:space="preserve"> Reverse causality (workforce decline → incidents) reflects an "overwork" pathway: fewer physicians per caseload increases fatigue, reduces supervision, and raises incident risk.</w:t>
      </w:r>
      <w:r>
        <w:rPr>
          <w:rFonts w:ascii="Times New Roman" w:hAnsi="Times New Roman"/>
          <w:b w:val="0"/>
          <w:i w:val="0"/>
          <w:sz w:val="20"/>
          <w:vertAlign w:val="superscript"/>
        </w:rPr>
        <w:t>24</w:t>
      </w:r>
      <w:r>
        <w:rPr>
          <w:rFonts w:ascii="Times New Roman" w:hAnsi="Times New Roman"/>
          <w:b w:val="0"/>
          <w:i w:val="0"/>
          <w:sz w:val="24"/>
        </w:rPr>
        <w:t xml:space="preserve"> The coexistence of both pathways in obstetrics, paediatrics, and general surgery defines the specialties most vulnerable to self-perpetuating decline.</w:t>
      </w:r>
    </w:p>
    <w:p>
      <w:pPr>
        <w:pStyle w:val="Heading2"/>
      </w:pPr>
      <w:r>
        <w:rPr>
          <w:rFonts w:ascii="Times New Roman" w:hAnsi="Times New Roman"/>
          <w:color w:val="000000"/>
        </w:rPr>
        <w:t>Context: work-style reform</w:t>
      </w:r>
    </w:p>
    <w:p>
      <w:pPr>
        <w:spacing w:after="120" w:line="480" w:lineRule="auto"/>
      </w:pPr>
      <w:r>
        <w:rPr>
          <w:rFonts w:ascii="Times New Roman" w:hAnsi="Times New Roman"/>
          <w:b w:val="0"/>
          <w:i w:val="0"/>
          <w:sz w:val="24"/>
        </w:rPr>
        <w:t>Our findings must be interpreted against the backdrop of Japan’s evolving physician labour market. The April 2024 work-style reform caps annual overtime at 960 hours (A-level) with transitional exceptions (B/C-level at 1,860 hours).</w:t>
      </w:r>
      <w:r>
        <w:rPr>
          <w:rFonts w:ascii="Times New Roman" w:hAnsi="Times New Roman"/>
          <w:b w:val="0"/>
          <w:i w:val="0"/>
          <w:sz w:val="20"/>
          <w:vertAlign w:val="superscript"/>
        </w:rPr>
        <w:t>5</w:t>
      </w:r>
      <w:r>
        <w:rPr>
          <w:rFonts w:ascii="Times New Roman" w:hAnsi="Times New Roman"/>
          <w:b w:val="0"/>
          <w:i w:val="0"/>
          <w:sz w:val="24"/>
        </w:rPr>
        <w:t xml:space="preserve"> While intended to improve physician well-being, the reform has produced several unintended consequences. Restrictions on "gaikin" (moonlighting opportunities)—historically an important income supplement for hospital-based physicians—have reduced the financial attractiveness of demanding specialties. Moreover, deemed self-study, whereby hours exceeding the cap are reclassified as voluntary training rather than labour, has paradoxically increased uncompensated workload for mid-career physicians while failing to improve working conditions for trainees.</w:t>
      </w:r>
      <w:r>
        <w:rPr>
          <w:rFonts w:ascii="Times New Roman" w:hAnsi="Times New Roman"/>
          <w:b w:val="0"/>
          <w:i w:val="0"/>
          <w:sz w:val="20"/>
          <w:vertAlign w:val="superscript"/>
        </w:rPr>
        <w:t>6</w:t>
      </w:r>
    </w:p>
    <w:p>
      <w:pPr>
        <w:spacing w:after="120" w:line="480" w:lineRule="auto"/>
      </w:pPr>
      <w:r>
        <w:rPr>
          <w:rFonts w:ascii="Times New Roman" w:hAnsi="Times New Roman"/>
          <w:b w:val="0"/>
          <w:i w:val="0"/>
          <w:sz w:val="24"/>
        </w:rPr>
        <w:t>Our Granger causality results illuminate the push side of this equation: safety incidents actively drive physicians away from high-risk specialties over a 3–5 year horizon. When combined with the reduced financial incentives imposed by work-style reform, the result is an accelerating workforce crisis in precisely those specialties that society most needs—surgery, obstetrics, emergency medicine, and paediatrics.</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Breaking the vicious cycle requires interventions targeting both pathways. On the push side, improved post-incident support, no-fault compensation systems, and balanced media reporting could reduce the deterrent effect of safety events.</w:t>
      </w:r>
      <w:r>
        <w:rPr>
          <w:rFonts w:ascii="Times New Roman" w:hAnsi="Times New Roman"/>
          <w:b w:val="0"/>
          <w:i w:val="0"/>
          <w:sz w:val="20"/>
          <w:vertAlign w:val="superscript"/>
        </w:rPr>
        <w:t>7,25</w:t>
      </w:r>
      <w:r>
        <w:rPr>
          <w:rFonts w:ascii="Times New Roman" w:hAnsi="Times New Roman"/>
          <w:b w:val="0"/>
          <w:i w:val="0"/>
          <w:sz w:val="24"/>
        </w:rPr>
        <w:t xml:space="preserve"> On the pull side, the Ministry of Health, Labour and Welfare’s 2024 draft measures to restrict new clinic openings in physician-surplus areas may function to attenuate the outflow from essential specialties. The IRF results, showing 3–5 year effect duration, define a critical intervention window during which combined regulatory and incentive-based policies could be most effective.</w:t>
      </w:r>
    </w:p>
    <w:p>
      <w:pPr>
        <w:spacing w:after="120" w:line="480" w:lineRule="auto"/>
      </w:pPr>
      <w:r>
        <w:rPr>
          <w:rFonts w:ascii="Times New Roman" w:hAnsi="Times New Roman"/>
          <w:b w:val="0"/>
          <w:i w:val="0"/>
          <w:sz w:val="24"/>
        </w:rPr>
        <w:t>Workforce planning models should incorporate the temporal lag parameters estimated here. The projected decline in general surgery (−230 physicians/year) and facilities (−310/year) demands urgent policy attention, particularly given the reform-driven constraints on existing workforce capacity.</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include population-level data from mandatory national registries across 12 specialties over up to 20 years, and the application of VAR/Granger methodology suited to continuously varying exposures.</w:t>
      </w:r>
    </w:p>
    <w:p>
      <w:pPr>
        <w:spacing w:after="120" w:line="480" w:lineRule="auto"/>
      </w:pPr>
      <w:r>
        <w:rPr>
          <w:rFonts w:ascii="Times New Roman" w:hAnsi="Times New Roman"/>
          <w:b w:val="0"/>
          <w:i w:val="0"/>
          <w:sz w:val="24"/>
        </w:rPr>
        <w:t>Limitations include the ecological study design precluding individual-level causal inference; biennial physician data requiring interpolation; limited power in the JMSR series (11 years); and unmeasured confounders including demographic shifts, the 2004 postgraduate training reform, and the direct effects of work-style reform itself (which overlaps temporally with the most recent data points). Importantly, our 12-specialty framework does not capture career paths that fall outside conventional specialty registration, notably aesthetic medicine</w:t>
      </w:r>
      <w:r>
        <w:rPr>
          <w:rFonts w:ascii="Times New Roman" w:hAnsi="Times New Roman"/>
          <w:b w:val="0"/>
          <w:i w:val="0"/>
          <w:sz w:val="20"/>
          <w:vertAlign w:val="superscript"/>
        </w:rPr>
        <w:t>26,27</w:t>
      </w:r>
      <w:r>
        <w:rPr>
          <w:rFonts w:ascii="Times New Roman" w:hAnsi="Times New Roman"/>
          <w:b w:val="0"/>
          <w:i w:val="0"/>
          <w:sz w:val="24"/>
        </w:rPr>
        <w:t xml:space="preserve"> and occupational medicine.</w:t>
      </w:r>
      <w:r>
        <w:rPr>
          <w:rFonts w:ascii="Times New Roman" w:hAnsi="Times New Roman"/>
          <w:b w:val="0"/>
          <w:i w:val="0"/>
          <w:sz w:val="20"/>
          <w:vertAlign w:val="superscript"/>
        </w:rPr>
        <w:t>28,29</w:t>
      </w:r>
      <w:r>
        <w:rPr>
          <w:rFonts w:ascii="Times New Roman" w:hAnsi="Times New Roman"/>
          <w:b w:val="0"/>
          <w:i w:val="0"/>
          <w:sz w:val="24"/>
        </w:rPr>
        <w:t xml:space="preserve"> The growing migration of early-career physicians into these non-traditionally-classified sectors may confound our estimates; to the extent that pull-driven exits correlate temporally with incident trends, our models may overestimate the incident-attributable component of workforce decline. Low retention among occupational physicians (55–65% turnover within 2 years)</w:t>
      </w:r>
      <w:r>
        <w:rPr>
          <w:rFonts w:ascii="Times New Roman" w:hAnsi="Times New Roman"/>
          <w:b w:val="0"/>
          <w:i w:val="0"/>
          <w:sz w:val="20"/>
          <w:vertAlign w:val="superscript"/>
        </w:rPr>
        <w:t>29</w:t>
      </w:r>
      <w:r>
        <w:rPr>
          <w:rFonts w:ascii="Times New Roman" w:hAnsi="Times New Roman"/>
          <w:b w:val="0"/>
          <w:i w:val="0"/>
          <w:sz w:val="24"/>
        </w:rPr>
        <w:t xml:space="preserve"> further complicates workforce planning assumptions.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Granger-cause reductions in specialty-specific physician supply in 9 of 12 specialties, with effects persisting for 3–5 years. Bidirectional causality in obstetrics, paediatrics, and general surgery suggests a self-reinforcing shortage–incident cycle. In the context of work-style reform and career paths outside conventional specialty frameworks, these temporal dynamics pose an urgent threat to essential medical services. Integrated policy responses addressing both the push of safety incidents and the pull of alternative career paths are needed.</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6. Japan Medical Association. Survey on physician work-style reform implementation status. Tokyo: JMA; 2024. Japanese.</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8. Hiyama T, Yoshihara M, Tanaka S, et al. Defensive medicine practices among gastroenterologists in Japan. World J Gastroenterol. 2006;12(47):7671-5.</w:t>
      </w:r>
    </w:p>
    <w:p>
      <w:pPr>
        <w:spacing w:line="480" w:lineRule="auto" w:after="40"/>
      </w:pPr>
      <w:r>
        <w:rPr>
          <w:rFonts w:ascii="Times New Roman" w:hAnsi="Times New Roman"/>
          <w:sz w:val="20"/>
        </w:rPr>
        <w:t>9. Morita H. Criminal prosecution and physician supply. Int Rev Law Econ. 2018;55:1-11.</w:t>
      </w:r>
    </w:p>
    <w:p>
      <w:pPr>
        <w:spacing w:line="480" w:lineRule="auto" w:after="40"/>
      </w:pPr>
      <w:r>
        <w:rPr>
          <w:rFonts w:ascii="Times New Roman" w:hAnsi="Times New Roman"/>
          <w:sz w:val="20"/>
        </w:rPr>
        <w:t>10.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11. Supreme Court of Japan. Annual report of judicial statistics: medical malpractice litigation. Tokyo: Supreme Court; 2024. Japanese.</w:t>
      </w:r>
    </w:p>
    <w:p>
      <w:pPr>
        <w:spacing w:line="480" w:lineRule="auto" w:after="40"/>
      </w:pPr>
      <w:r>
        <w:rPr>
          <w:rFonts w:ascii="Times New Roman" w:hAnsi="Times New Roman"/>
          <w:sz w:val="20"/>
        </w:rPr>
        <w:t>12.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13. Onishi T. Impact of medical safety incidents on physician workforce and healthcare facility supply across 12 specialties in Japan: an interrupted time series analysis. Preprint. 2025.</w:t>
      </w:r>
    </w:p>
    <w:p>
      <w:pPr>
        <w:spacing w:line="480" w:lineRule="auto" w:after="40"/>
      </w:pPr>
      <w:r>
        <w:rPr>
          <w:rFonts w:ascii="Times New Roman" w:hAnsi="Times New Roman"/>
          <w:sz w:val="20"/>
        </w:rPr>
        <w:t>14. Granger CWJ. Investigating causal relations by econometric models and cross-spectral methods. Econometrica. 1969;37(3):424-38.</w:t>
      </w:r>
    </w:p>
    <w:p>
      <w:pPr>
        <w:spacing w:line="480" w:lineRule="auto" w:after="40"/>
      </w:pPr>
      <w:r>
        <w:rPr>
          <w:rFonts w:ascii="Times New Roman" w:hAnsi="Times New Roman"/>
          <w:sz w:val="20"/>
        </w:rPr>
        <w:t>15. Lütkepohl H. New Introduction to Multiple Time Series Analysis. Berlin: Springer; 2005.</w:t>
      </w:r>
    </w:p>
    <w:p>
      <w:pPr>
        <w:spacing w:line="480" w:lineRule="auto" w:after="40"/>
      </w:pPr>
      <w:r>
        <w:rPr>
          <w:rFonts w:ascii="Times New Roman" w:hAnsi="Times New Roman"/>
          <w:sz w:val="20"/>
        </w:rPr>
        <w:t>16. Toda HY, Yamamoto T. Statistical inference in vector autoregressions with possibly integrated processes. J Econom. 1995;66(1-2):225-50.</w:t>
      </w:r>
    </w:p>
    <w:p>
      <w:pPr>
        <w:spacing w:line="480" w:lineRule="auto" w:after="40"/>
      </w:pPr>
      <w:r>
        <w:rPr>
          <w:rFonts w:ascii="Times New Roman" w:hAnsi="Times New Roman"/>
          <w:sz w:val="20"/>
        </w:rPr>
        <w:t>17. Benchimol EI, Smeeth L, Guttmann A, et al. The REporting of studies Conducted using Observational Routinely-collected health Data (RECORD) statement. PLoS Med. 2015;12(10):e1001885.</w:t>
      </w:r>
    </w:p>
    <w:p>
      <w:pPr>
        <w:spacing w:line="480" w:lineRule="auto" w:after="40"/>
      </w:pPr>
      <w:r>
        <w:rPr>
          <w:rFonts w:ascii="Times New Roman" w:hAnsi="Times New Roman"/>
          <w:sz w:val="20"/>
        </w:rPr>
        <w:t>18. Ministry of Health, Labour and Welfare. Survey of physicians, dentists, and pharmacists. Tokyo: MHLW; 2024. Japanese.</w:t>
      </w:r>
    </w:p>
    <w:p>
      <w:pPr>
        <w:spacing w:line="480" w:lineRule="auto" w:after="40"/>
      </w:pPr>
      <w:r>
        <w:rPr>
          <w:rFonts w:ascii="Times New Roman" w:hAnsi="Times New Roman"/>
          <w:sz w:val="20"/>
        </w:rPr>
        <w:t>19. Ministry of Health, Labour and Welfare. Survey of medical institutions (dynamic survey). Tokyo: MHLW; 2024. Japanese.</w:t>
      </w:r>
    </w:p>
    <w:p>
      <w:pPr>
        <w:spacing w:line="480" w:lineRule="auto" w:after="40"/>
      </w:pPr>
      <w:r>
        <w:rPr>
          <w:rFonts w:ascii="Times New Roman" w:hAnsi="Times New Roman"/>
          <w:sz w:val="20"/>
        </w:rPr>
        <w:t>20. Japan Board of Medical Specialties. Specialist trainee registration statistics. Tokyo: JBMS; 2025. Japanese.</w:t>
      </w:r>
    </w:p>
    <w:p>
      <w:pPr>
        <w:spacing w:line="480" w:lineRule="auto" w:after="40"/>
      </w:pPr>
      <w:r>
        <w:rPr>
          <w:rFonts w:ascii="Times New Roman" w:hAnsi="Times New Roman"/>
          <w:sz w:val="20"/>
        </w:rPr>
        <w:t>21. Hamilton JD. Time Series Analysis. Princeton: Princeton University Press; 1994.</w:t>
      </w:r>
    </w:p>
    <w:p>
      <w:pPr>
        <w:spacing w:line="480" w:lineRule="auto" w:after="40"/>
      </w:pPr>
      <w:r>
        <w:rPr>
          <w:rFonts w:ascii="Times New Roman" w:hAnsi="Times New Roman"/>
          <w:sz w:val="20"/>
        </w:rPr>
        <w:t>22. Sims CA. Macroeconomics and reality. Econometrica. 1980;48(1):1-48.</w:t>
      </w:r>
    </w:p>
    <w:p>
      <w:pPr>
        <w:spacing w:line="480" w:lineRule="auto" w:after="40"/>
      </w:pPr>
      <w:r>
        <w:rPr>
          <w:rFonts w:ascii="Times New Roman" w:hAnsi="Times New Roman"/>
          <w:sz w:val="20"/>
        </w:rPr>
        <w:t>23. Seabold S, Perktold J. Statsmodels: econometric and statistical modeling with Python. Proc 9th Python Sci Conf. 2010:92-6.</w:t>
      </w:r>
    </w:p>
    <w:p>
      <w:pPr>
        <w:spacing w:line="480" w:lineRule="auto" w:after="40"/>
      </w:pPr>
      <w:r>
        <w:rPr>
          <w:rFonts w:ascii="Times New Roman" w:hAnsi="Times New Roman"/>
          <w:sz w:val="20"/>
        </w:rPr>
        <w:t>24.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25. Currie J, MacLeod WB. First do no harm? Tort reform and birth outcomes. Q J Econ. 2008;123(2):795-830.</w:t>
      </w:r>
    </w:p>
    <w:p>
      <w:pPr>
        <w:spacing w:line="480" w:lineRule="auto" w:after="40"/>
      </w:pPr>
      <w:r>
        <w:rPr>
          <w:rFonts w:ascii="Times New Roman" w:hAnsi="Times New Roman"/>
          <w:sz w:val="20"/>
        </w:rPr>
        <w:t>26. Takei T. The ‘Chokubi’ phenomenon: young physicians’ exodus from state service to private medicine in Japan. QJM. 2024;117(12):843-5.</w:t>
      </w:r>
    </w:p>
    <w:p>
      <w:pPr>
        <w:spacing w:line="480" w:lineRule="auto" w:after="40"/>
      </w:pPr>
      <w:r>
        <w:rPr>
          <w:rFonts w:ascii="Times New Roman" w:hAnsi="Times New Roman"/>
          <w:sz w:val="20"/>
        </w:rPr>
        <w:t>27. Ministry of Health, Labour and Welfare. Survey of medical institutions 2023: aesthetic surgery clinics. Tokyo: MHLW; 2024. Japanese.</w:t>
      </w:r>
    </w:p>
    <w:p>
      <w:pPr>
        <w:spacing w:line="480" w:lineRule="auto" w:after="40"/>
      </w:pPr>
      <w:r>
        <w:rPr>
          <w:rFonts w:ascii="Times New Roman" w:hAnsi="Times New Roman"/>
          <w:sz w:val="20"/>
        </w:rPr>
        <w:t>28. Koike S, Isse T, Kawaguchi H, et al. Retention among full-time occupational physicians in Japan. Occup Med (Lond). 2019;69(2):139-42.</w:t>
      </w:r>
    </w:p>
    <w:p>
      <w:pPr>
        <w:spacing w:line="480" w:lineRule="auto" w:after="40"/>
      </w:pPr>
      <w:r>
        <w:rPr>
          <w:rFonts w:ascii="Times New Roman" w:hAnsi="Times New Roman"/>
          <w:sz w:val="20"/>
        </w:rPr>
        <w:t>29. Isse T, Nakamura H, Hachisuka K. Turnover of full-time occupational physicians in Japan in the period 2002–2008. Sangyo Eiseigaku Zasshi. 2012;54(5):174-83. Japanese.</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