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the Demand-Side Fiscal Return to Healthcare Expenditure in Japan: Input-Output Multipliers, a Constant Health-Capital Lag, and Diagnostic Equipment Stock with Cross-Country OECD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Demand-Side Return and Lag</w:t>
      </w:r>
    </w:p>
    <w:p/>
    <w:p>
      <w:r>
        <w:rPr>
          <w:b/>
        </w:rPr>
        <w:t xml:space="preserve">Total word count: </w:t>
      </w:r>
      <w:r>
        <w:t>approximately 7,800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to be contained, particularly given rapid population aging. However, healthcare is also a major economic sector whose demand-side fiscal return is rarely quantified against its public cost. This study evaluates the fiscal return to Japan's healthcare expenditure using input-output (I-O) multipliers, tests for a constant spending-to-outcome lag in health-capital accumulation, and benchmarks the pattern across 13 OECD countries.</w:t>
      </w:r>
    </w:p>
    <w:p>
      <w:r>
        <w:rPr>
          <w:b/>
        </w:rPr>
        <w:t xml:space="preserve">Methods: </w:t>
      </w:r>
      <w:r>
        <w:t>We compiled healthcare sector I-O output multipliers for 13 OECD countries from published national and EU-28 framework studies. A fiscal return ratio (effective tax rate times output multiplier divided by public financing share) was computed for each country, with sensitivity analyses using approximate value-added multipliers and deficit-adjusted denominators. A self-contained tempo model (39 countries, 2000-2019) tested for a constant spending-to-outcome lag in health-capital accumulation; model selection used LOOCV RMSE, AIC, and BIC. Equipment density and import leakage effects on effective multipliers were modeled, and counterfactual scenarios were constructed for Japan with sensitivity analysis around the equipment-related CHE share assumption (5-25%).</w:t>
      </w:r>
    </w:p>
    <w:p>
      <w:r>
        <w:rPr>
          <w:b/>
        </w:rPr>
        <w:t xml:space="preserve">Results: </w:t>
      </w:r>
      <w:r>
        <w:t>Using output multipliers, the demand-side fiscal return ratio exceeded 1.0 in five of thirteen countries (France 1.18, Italy 1.13, Japan 1.09, Sweden 1.04, Finland 1.04). With value-added multipliers, no country exceeded 1.0, indicating that the output multiplier provides an upper bound. For Japan the ratio fell from 1.09 (gross) to 1.04 after import-leakage adjustment, to 0.67 when the return was discounted for 35% deficit financing, and to 0.60 under value-added multipliers, bracketing break-even from above and below. Reducing equipment density to the OECD average lowered the gross ratio to 0.98 (sensitivity range 0.94-1.02 for equipment share 5-25%). The tempo model, recomputed from public World Bank data (2000-2019), confirmed a spending-to-outcome lag: the constant-lag model (M1) improved level-prediction RMSE over the flow-only model (M0) from 0.253 to 0.208 years and LOOCV RMSE from 0.304 to 0.250, and was favoured over M0 by AIC, BIC, and LOOCV in 64%, 64%, and 69% of countries. The time-varying extension (M2) did not improve on M1 under AIC or BIC (0% and 0%), so no stable time-varying drift was supported.</w:t>
      </w:r>
    </w:p>
    <w:p>
      <w:r>
        <w:rPr>
          <w:b/>
        </w:rPr>
        <w:t xml:space="preserve">Conclusions: </w:t>
      </w:r>
      <w:r>
        <w:t>Japan's healthcare expenditure generates a material, conditional demand-side fiscal return: the gross output-multiplier return is 1.09, the import-leakage-adjusted return is 1.04, the deficit-adjusted return is 0.67, and the value-added return is 0.60, bracketing break-even from above and below. The return is comparable in magnitude to other discretionary fiscal expenditures, but it is not by itself sufficient to fully self-finance public healthcare costs under conservative treatments. The tempo model supports a constant spending-to-outcome lag of approximately 2 years, not a time-varying drift. The policy implication is that healthcare expenditure should be evaluated with both cost and economic-return lenses, with deficit-financing dependence, equipment utilization, workforce constraints, and cross-country heterogeneity treated as boundary conditions on the sustainability of that return rather than as grounds for dismissing it.</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The same logic maps onto capital formation, where output responds to investment only after a gestation ('time-to-build') lag</w:t>
      </w:r>
      <w:r>
        <w:rPr>
          <w:sz w:val="20"/>
          <w:vertAlign w:val="superscript"/>
        </w:rPr>
        <w:t>22</w:t>
      </w:r>
      <w:r>
        <w:t>, so that a drifting lag behaves as an analogous 'forgotten parameter'. We apply this quantum-tempo logic to healthcare, treating expenditure as a flow that accumulates into a stock of health capital</w:t>
      </w:r>
      <w:r>
        <w:rPr>
          <w:sz w:val="20"/>
          <w:vertAlign w:val="superscript"/>
        </w:rPr>
        <w:t>12</w:t>
      </w:r>
      <w:r>
        <w:t xml:space="preserve"> subject to a spending-to-outcome lag analogous to the demographic tempo effect</w:t>
      </w:r>
      <w:r>
        <w:rPr>
          <w:sz w:val="20"/>
          <w:vertAlign w:val="superscript"/>
        </w:rPr>
        <w:t>20</w:t>
      </w:r>
      <w:r>
        <w:t>, and model this lag across 39 countries (2000-2019). The full model specification and code are provided in this study's public repository so that every reported statistic can be reproduced and examined independently.</w:t>
      </w:r>
    </w:p>
    <w:p>
      <w:r>
        <w:t>Japan is also known for its extremely high diagnostic imaging equipment density</w:t>
      </w:r>
      <w:r>
        <w:rPr>
          <w:sz w:val="20"/>
          <w:vertAlign w:val="superscript"/>
        </w:rPr>
        <w:t>1,23</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24</w:t>
      </w:r>
      <w:r>
        <w:t>.</w:t>
      </w:r>
    </w:p>
    <w:p>
      <w:r>
        <w:t>An important structural context is Japan's physician density: at 2.5 physicians per 1,000 population, Japan ranks among the lowest in the OECD (average 3.7)</w:t>
      </w:r>
      <w:r>
        <w:rPr>
          <w:sz w:val="20"/>
          <w:vertAlign w:val="superscript"/>
        </w:rPr>
        <w:t>25</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26</w:t>
      </w:r>
      <w:r>
        <w:t>.</w:t>
      </w:r>
    </w:p>
    <w:p>
      <w:r>
        <w:t>The aim of this study was to (1) evaluate the demand-side fiscal return to Japan's healthcare expenditure using I-O multipliers and a health-capital tempo model,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1,23</w:t>
      </w:r>
      <w:r>
        <w:t>, the World Bank World Development Indicators</w:t>
      </w:r>
      <w:r>
        <w:rPr>
          <w:sz w:val="20"/>
          <w:vertAlign w:val="superscript"/>
        </w:rPr>
        <w:t>27</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24</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tests for a constant spending-to-outcome lag in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23</w:t>
      </w:r>
      <w:r>
        <w:t>. Medical import leakage was calculated as the net imports of pharmaceuticals (HS30) and medical devices (HS9018-22) divided by CHE</w:t>
      </w:r>
      <w:r>
        <w:rPr>
          <w:sz w:val="20"/>
          <w:vertAlign w:val="superscript"/>
        </w:rPr>
        <w:t>24</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28</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23</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evaluated the demand-side fiscal return to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once deficit financing is taken into account, Japan's demand-side return falls below break-even, and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2.0 years. However, the time-varying extension (M2 vs M1) yielded no improvement once the additional parameter was penalized (M2 was favoured over M1 in 0% of countries by AIC and 0% by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29</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29</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25</w:t>
      </w:r>
      <w:r>
        <w:t>, yet Japanese patients enjoy the fastest access to specialist care globally. With the enforcement of work-style reform legislation capping physician overtime</w:t>
      </w:r>
      <w:r>
        <w:rPr>
          <w:sz w:val="20"/>
          <w:vertAlign w:val="superscript"/>
        </w:rPr>
        <w:t>26</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25</w:t>
      </w:r>
      <w:r>
        <w:t>.</w:t>
      </w:r>
    </w:p>
    <w:p>
      <w:pPr>
        <w:pStyle w:val="Heading2"/>
      </w:pPr>
      <w:r>
        <w:t>Additional limitations</w:t>
      </w:r>
    </w:p>
    <w:p>
      <w:r>
        <w:t>Finally, this study focused on the demand-side fiscal return; a comprehensive sustainability assessment would also need to quantify the economic returns to supply-side health-capital effects, which requires individual-level data.</w:t>
      </w:r>
    </w:p>
    <w:p>
      <w:pPr>
        <w:pStyle w:val="Heading1"/>
      </w:pPr>
      <w:r>
        <w:t>Conclusions</w:t>
      </w:r>
    </w:p>
    <w:p>
      <w:r>
        <w:t>Japan's healthcare expenditure generates a material, conditional demand-side fiscal return. On the demand side alone it recovers a substantial share of public cost through induced taxation: an output-based fiscal return ratio of 1.09, remaining at 1.04 after import-leakage adjustment, 0.67 after discounting for deficit financing, and 0.60 under the most conservative value-added treatment. These values bracket break-even and show that the economic return is of a magnitude comparable to other discretionary fiscal expenditures, but that the demand-side return alone falls short of full tax-based self-financing under conservative treatments.</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and that its demand-side economic return should be formally incorporated into fiscal evaluation rather than disregarded. The return is material but not sufficient for full self-financing under conservative treatments; it should be counted as one component of sustainability, with deficit-financing dependence, over-supply risk, workforce constraints, and the age-specific structure of spending treated as conditions on that return rather than as reasons to dismiss it. The cross-country comparison shows that Japan's position is not an outlier: the gross output-multiplier return exceeds break-even in five OECD countries, while the value-added and deficit-adjusted returns fall below it in all 13. This sensitivity to accounting assumptions and financing structure is the main value of the multi-country design; a Japan-only analysis would miss it.</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Kydland FE, Prescott EC. Time to build and aggregate fluctuations. Econometrica. 1982;50(6):1345-1370.</w:t>
      </w:r>
    </w:p>
    <w:p>
      <w:r>
        <w:rPr>
          <w:b/>
        </w:rPr>
        <w:t xml:space="preserve">23. </w:t>
      </w:r>
      <w:r>
        <w:t>OECD. Health at a Glance 2023: OECD Indicators. Chapter 5.23: Diagnostic technologies. Paris: OECD Publishing; 2023.</w:t>
      </w:r>
    </w:p>
    <w:p>
      <w:r>
        <w:rPr>
          <w:b/>
        </w:rPr>
        <w:t xml:space="preserve">24. </w:t>
      </w:r>
      <w:r>
        <w:t>Ministry of Health, Labour and Welfare. Pharmaceutical and medical device production statistics annual report. Tokyo: MHLW; 2021. [In Japanese]</w:t>
      </w:r>
    </w:p>
    <w:p>
      <w:r>
        <w:rPr>
          <w:b/>
        </w:rPr>
        <w:t xml:space="preserve">25. </w:t>
      </w:r>
      <w:r>
        <w:t>OECD. Health at a Glance 2023: OECD Indicators. Chapter 8.1: Health workforce. Paris: OECD Publishing; 2023.</w:t>
      </w:r>
    </w:p>
    <w:p>
      <w:r>
        <w:rPr>
          <w:b/>
        </w:rPr>
        <w:t xml:space="preserve">26. </w:t>
      </w:r>
      <w:r>
        <w:t>Koike S, Wada H, Ohde S, Ide H, Taneda K, Tanigawa T. Working hours of full-time hospital physicians in Japan: a cross-sectional nationwide survey. BMC Public Health. 2024;24:164.</w:t>
      </w:r>
    </w:p>
    <w:p>
      <w:r>
        <w:rPr>
          <w:b/>
        </w:rPr>
        <w:t xml:space="preserve">27. </w:t>
      </w:r>
      <w:r>
        <w:t>World Bank. World Development Indicators. Washington, DC: World Bank; 2024. Available from: https://databank.worldbank.org/</w:t>
      </w:r>
    </w:p>
    <w:p>
      <w:r>
        <w:rPr>
          <w:b/>
        </w:rPr>
        <w:t xml:space="preserve">28. </w:t>
      </w:r>
      <w:r>
        <w:t>Preston SH. The changing relation between mortality and level of economic development. Popul Stud. 1975;29(2):231-248.</w:t>
      </w:r>
    </w:p>
    <w:p>
      <w:r>
        <w:rPr>
          <w:b/>
        </w:rPr>
        <w:t xml:space="preserve">29.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Demand-side fiscal return and health-capital lag framework.</w:t>
      </w:r>
    </w:p>
    <w:p/>
    <w:p>
      <w:r>
        <w:t>Conceptual diagram of the analytical framework. Healthcare spending generates demand-side fiscal returns via I-O multipliers (tax revenue recovery). A constant spending-to-outcome lag links expenditure flows to health-capital stock; the supply-side effect is modeled as a timing lag rather than quantified as a fiscal return.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924"/>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924"/>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