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3662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International Journal of Health Policy and Management</w:t>
      </w:r>
    </w:p>
    <w:p>
      <w:r>
        <w:br w:type="page"/>
      </w:r>
    </w:p>
    <w:p>
      <w:pPr>
        <w:spacing w:before="0" w:after="120"/>
      </w:pPr>
      <w:r>
        <w:rPr>
          <w:rFonts w:ascii="Times New Roman" w:hAnsi="Times New Roman"/>
          <w:b/>
          <w:sz w:val="26"/>
        </w:rPr>
        <w:t>IMPLICATIONS FOR POLICY MAKERS</w:t>
      </w:r>
    </w:p>
    <w:p>
      <w:r>
        <w:rPr>
          <w:rFonts w:ascii="Times New Roman" w:hAnsi="Times New Roman"/>
          <w:sz w:val="24"/>
        </w:rPr>
        <w:t>1. Within Japan's uniform national fee schedule, regional variation in anaesthesia practice is driven by structural capacity (notably university hospital presence) rather than by prefectural claims-audit intensity.</w:t>
      </w:r>
    </w:p>
    <w:p>
      <w:r>
        <w:rPr>
          <w:rFonts w:ascii="Times New Roman" w:hAnsi="Times New Roman"/>
          <w:sz w:val="24"/>
        </w:rPr>
        <w:t>2. Large variation in neuraxial and combined general-epidural anaesthesia is a modifiable equity gap that workforce, training and monitoring policies can address without changing payment rates.</w:t>
      </w:r>
    </w:p>
    <w:p>
      <w:r>
        <w:rPr>
          <w:rFonts w:ascii="Times New Roman" w:hAnsi="Times New Roman"/>
          <w:sz w:val="24"/>
        </w:rPr>
        <w:t>3. The claims-audit hypothesis is quantitatively implausible as the main driver of variation; policy responses should target supply and organisation rather than fraud control.</w:t>
      </w:r>
    </w:p>
    <w:p>
      <w:r>
        <w:rPr>
          <w:rFonts w:ascii="Times New Roman" w:hAnsi="Times New Roman"/>
          <w:sz w:val="24"/>
        </w:rPr>
        <w:t>4. Anaesthesia technique mix can be monitored as a system-level quality indicator using existing publicly available standardised claim ratios.</w:t>
      </w:r>
    </w:p>
    <w:p>
      <w:r>
        <w:rPr>
          <w:rFonts w:ascii="Times New Roman" w:hAnsi="Times New Roman"/>
          <w:sz w:val="24"/>
        </w:rPr>
        <w:t>5. The within-prefecture variance-decomposition framework is transferable to other procedures and to other universal-coverage systems that combine a uniform fee schedule with regional auditing.</w:t>
      </w:r>
    </w:p>
    <w:p>
      <w:pPr>
        <w:spacing w:before="240" w:after="120"/>
      </w:pPr>
      <w:r>
        <w:rPr>
          <w:rFonts w:ascii="Times New Roman" w:hAnsi="Times New Roman"/>
          <w:b/>
          <w:sz w:val="26"/>
        </w:rPr>
        <w:t>IMPLICATIONS FOR PUBLIC</w:t>
      </w:r>
    </w:p>
    <w:p>
      <w:r>
        <w:rPr>
          <w:rFonts w:ascii="Times New Roman" w:hAnsi="Times New Roman"/>
          <w:sz w:val="24"/>
        </w:rPr>
        <w:t>Patients in Japan are entitled to equitable access under universal health insurance, yet the likelihood of receiving a combined general-epidural anaesthetic depends strongly on whether the patient's home area contains a university hospital. This study shows that the variation is not explained by differences in claims auditing, which is uniform within each prefecture, but by the geographic distribution of specialist anaesthesia services. The findings suggest that policy attention should focus on expanding regional access to advanced anaesthesia techniques and on transparent monitoring of technique mix, rather than on tightening audits.</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r>
        <w:rPr>
          <w:rFonts w:ascii="Times New Roman" w:hAnsi="Times New Roman"/>
          <w:sz w:val="24"/>
        </w:rPr>
        <w:t>Background  Regional variation in anaesthesia practice is well documented, but whether it reflects clinical structure or administrative auditing remains unresolved. Japan's single national fee schedule plus prefecture-specific claims auditing offers a natural experiment. We quantified variation across 335 secondary medical areas and tested the structural versus audit hypotheses.</w:t>
      </w:r>
    </w:p>
    <w:p>
      <w:r>
        <w:rPr>
          <w:rFonts w:ascii="Times New Roman" w:hAnsi="Times New Roman"/>
          <w:sz w:val="24"/>
        </w:rPr>
        <w:t>Methods  Cross-sectional ecological study using age- and sex-standardised claim ratios (national average = 100) for six anaesthesia procedure codes in fiscal year 2022. We fitted multilevel linear mixed models with prefecture random intercepts and three pre-specified sensitivity analyses to test differential auditing, plus empirical Bayes shrinkage.</w:t>
      </w:r>
    </w:p>
    <w:p>
      <w:r>
        <w:rPr>
          <w:rFonts w:ascii="Times New Roman" w:hAnsi="Times New Roman"/>
          <w:sz w:val="24"/>
        </w:rPr>
        <w:t>Results  Coefficients of variation ranged from 53.7% (general anaesthesia) to 87.2% (epidural). Only 0.058 of general anaesthesia variance lay between prefectures; university hospital presence explained 0.358 of total variance and 47.4% of within-prefecture variance (Cohen's d 1.88), and was positive in all 47 prefectures. Audit sensitivity analyses converged: the maximum audit-rate difference could shift ratios by at most 0.28 points, less than 1% of the interquartile range for general anaesthesia. Empirical Bayes shrinkage attenuated the university hospital effect but it remained statistically significant.</w:t>
      </w:r>
    </w:p>
    <w:p>
      <w:r>
        <w:rPr>
          <w:rFonts w:ascii="Times New Roman" w:hAnsi="Times New Roman"/>
          <w:sz w:val="24"/>
        </w:rPr>
        <w:t>Conclusion  Regional variation is predominantly structural, driven by university hospital proximity. The large variation in epidural and continuous epidural infusion signals a modifiable inequity in access to potentially beneficial regional anaesthesia under universal coverage.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policy; health services research; universal health coverage;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w:t>
      </w:r>
      <w:r>
        <w:rPr>
          <w:rFonts w:ascii="Times New Roman" w:hAnsi="Times New Roman"/>
          <w:sz w:val="24"/>
          <w:vertAlign w:val="superscript"/>
        </w:rPr>
        <w:t>4</w:t>
      </w:r>
      <w:r>
        <w:rPr>
          <w:rFonts w:ascii="Times New Roman" w:hAnsi="Times New Roman"/>
          <w:sz w:val="24"/>
        </w:rPr>
        <w:t xml:space="preserve"> and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w:t>
      </w:r>
      <w:r>
        <w:rPr>
          <w:rFonts w:ascii="Times New Roman" w:hAnsi="Times New Roman"/>
          <w:sz w:val="24"/>
          <w:vertAlign w:val="superscript"/>
        </w:rPr>
        <w:t>6</w:t>
      </w:r>
      <w:r>
        <w:rPr>
          <w:rFonts w:ascii="Times New Roman" w:hAnsi="Times New Roman"/>
          <w:sz w:val="24"/>
        </w:rPr>
        <w:t xml:space="preserve"> This raises a fundamental question for health policy and governance: does the variation observed in claims data reflect genuine differences in clinical practice, or is it an artefact of differential auditing? Distinguishing between these two explanations has different implications for quality improvement, payment policy, regulation and patient equity.</w:t>
      </w:r>
    </w:p>
    <w:p>
      <w:r>
        <w:rPr>
          <w:rFonts w:ascii="Times New Roman" w:hAnsi="Times New Roman"/>
          <w:sz w:val="24"/>
        </w:rPr>
        <w:t>Anaesthesia practice is well suited to this question. Perioperative claims are comparatively complete because surgery is almost always reimbursed, so the data have high structural integrity.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and redefined the L008 general-anaesthesia code to make the required airway-device explicit, removing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11</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12</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13</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14</w:t>
      </w:r>
      <w:r>
        <w:rPr>
          <w:rFonts w:ascii="Times New Roman" w:hAnsi="Times New Roman"/>
          <w:sz w:val="24"/>
        </w:rPr>
        <w:t xml:space="preserve"> Third, secondary medical area boundaries, land area and population density were obtained from the National Land Numerical Information medical-area dataset (A38-20).</w:t>
      </w:r>
      <w:r>
        <w:rPr>
          <w:rFonts w:ascii="Times New Roman" w:hAnsi="Times New Roman"/>
          <w:sz w:val="24"/>
          <w:vertAlign w:val="superscript"/>
        </w:rPr>
        <w:t>15</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Closed-circuit general anaesthesia</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w:t>
            </w:r>
          </w:p>
        </w:tc>
        <w:tc>
          <w:tcPr>
            <w:tcW w:type="dxa" w:w="3009"/>
          </w:tcPr>
          <w:p>
            <w:r/>
            <w:r>
              <w:rPr>
                <w:rFonts w:ascii="Times New Roman" w:hAnsi="Times New Roman"/>
                <w:sz w:val="20"/>
              </w:rPr>
              <w:t>Regional technique claimed as main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Alternative regional technique</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16</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17</w:t>
      </w:r>
      <w:r>
        <w:rPr>
          <w:rFonts w:ascii="Times New Roman" w:hAnsi="Times New Roman"/>
          <w:sz w:val="24"/>
        </w:rPr>
        <w:t xml:space="preserve"> A null random-intercept model was fitted first to estimate the intraclass correlation coefficient. Subsequent models added fixed effects for university hospital presence; a covariate-adjusted sensitivity model further added the natural logarithm of population density and the anaesthesiologist share of all physicians (both standardised).</w:t>
      </w:r>
      <w:r>
        <w:rPr>
          <w:rFonts w:ascii="Times New Roman" w:hAnsi="Times New Roman"/>
          <w:sz w:val="24"/>
          <w:vertAlign w:val="superscript"/>
        </w:rPr>
        <w:t>15,16</w:t>
      </w:r>
      <w:r>
        <w:rPr>
          <w:rFonts w:ascii="Times New Roman" w:hAnsi="Times New Roman"/>
          <w:sz w:val="24"/>
        </w:rPr>
        <w:t xml:space="preserve"> Models were estimated by restricted maximum likelihood using the Python statsmodels MixedLM implementation.</w:t>
      </w:r>
      <w:r>
        <w:rPr>
          <w:rFonts w:ascii="Times New Roman" w:hAnsi="Times New Roman"/>
          <w:sz w:val="24"/>
          <w:vertAlign w:val="superscript"/>
        </w:rPr>
        <w:t>18</w:t>
      </w:r>
      <w:r>
        <w:rPr>
          <w:rFonts w:ascii="Times New Roman" w:hAnsi="Times New Roman"/>
          <w:sz w:val="24"/>
        </w:rPr>
        <w:t xml:space="preserve"> A small number of model fits produced optimizer convergence warnings; the resulting point estimates were numerically stable across repeated fits and across the sensitivity analyses, and are reported as mixed-model coefficients.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19</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point-audit rates reported by the Social Insurance Medical Fee Payment Fund.</w:t>
      </w:r>
      <w:r>
        <w:rPr>
          <w:rFonts w:ascii="Times New Roman" w:hAnsi="Times New Roman"/>
          <w:sz w:val="24"/>
          <w:vertAlign w:val="superscript"/>
        </w:rPr>
        <w:t>6</w:t>
      </w:r>
      <w:r>
        <w:rPr>
          <w:rFonts w:ascii="Times New Roman" w:hAnsi="Times New Roman"/>
          <w:sz w:val="24"/>
        </w:rPr>
        <w:t xml:space="preserve"> Combined ratios (general plus continuous epidural; general plus spinal)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before="240" w:after="120"/>
      </w:pPr>
      <w:r>
        <w:rPr>
          <w:rFonts w:ascii="Times New Roman" w:hAnsi="Times New Roman"/>
          <w:b/>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jc w:val="center"/>
      </w:pPr>
      <w:r>
        <w:drawing>
          <wp:inline xmlns:a="http://schemas.openxmlformats.org/drawingml/2006/main" xmlns:pic="http://schemas.openxmlformats.org/drawingml/2006/picture">
            <wp:extent cx="5760720" cy="6795010"/>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760720" cy="6795010"/>
                    </a:xfrm>
                    <a:prstGeom prst="rect"/>
                  </pic:spPr>
                </pic:pic>
              </a:graphicData>
            </a:graphic>
          </wp:inline>
        </w:drawing>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&lt;0.001) (Table 3).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Marginal R²</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&lt;0.001), epidural anaesthesia (β = +39.1, 95% CI 14.5 to 63.7, P 0.002) and continuous epidural infusion (β = +33.9, 95% CI 20.0 to 47.7, P &lt;0.001). For spinal anaesthesia the point estimate was positive but no longer statistically significant (β = +9.7, 95% CI -4.0 to 23.3, P 0.165). Population density was positively associated with general anaesthesia ratios (β = 8.3, P &lt;0.001) but not with the other three codes. The anaesthesiologist share was positively associated with general, epidural, continuous epidural and spinal anaesthesia (P &lt;0.001, 0.039, &lt;0.001 and 0.005, respectively).</w:t>
      </w:r>
    </w:p>
    <w:p>
      <w:pPr>
        <w:spacing w:before="240" w:after="120"/>
      </w:pPr>
      <w:r>
        <w:rPr>
          <w:rFonts w:ascii="Times New Roman" w:hAnsi="Times New Roman"/>
          <w:b/>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pPr>
        <w:jc w:val="center"/>
      </w:pPr>
      <w:r>
        <w:drawing>
          <wp:inline xmlns:a="http://schemas.openxmlformats.org/drawingml/2006/main" xmlns:pic="http://schemas.openxmlformats.org/drawingml/2006/picture">
            <wp:extent cx="5760720" cy="3384910"/>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760720" cy="3384910"/>
                    </a:xfrm>
                    <a:prstGeom prst="rect"/>
                  </pic:spPr>
                </pic:pic>
              </a:graphicData>
            </a:graphic>
          </wp:inline>
        </w:drawing>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&lt;0.001), as were general and epidural anaesthesia (r = 0.319, P &lt;0.001),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(Cohen's d 1.26),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53.7% for general anaesthesia to 87.2% for epidural anaesthesia. Multilevel modelling showed that only 0.058 of general anaesthesia variance is attributable to prefectures, while 85.5% occurs within prefectures where audit policy is uniform. University hospital presence explained 0.358 of total variance and 47.4%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20</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A covariate-adjusted sensitivity model added population density and anaesthesiologist supply; the university hospital coefficient remained positive and statistically significant for general, epidural and continuous epidural anaesthesia, but not for spinal anaesthesia, suggesting that unmeasured area-level factors still contribute to variation.</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to our knowledge, the first multilevel small-area analysis of anaesthesia technique under universal coverage in East Asia. The university hospital effect we report (Cohen's d = 1.88) is substantial, plausibly reflecting the influence of the ikyoku (university medical office) system on clinical practice in affiliated hospitals.</w:t>
      </w:r>
      <w:r>
        <w:rPr>
          <w:rFonts w:ascii="Times New Roman" w:hAnsi="Times New Roman"/>
          <w:sz w:val="24"/>
          <w:vertAlign w:val="superscript"/>
        </w:rPr>
        <w:t>25</w:t>
      </w:r>
      <w:r>
        <w:rPr>
          <w:rFonts w:ascii="Times New Roman" w:hAnsi="Times New Roman"/>
          <w:sz w:val="24"/>
        </w:rPr>
        <w:t xml:space="preserve"> The intraclass correlation coefficient of 0.058 for general anaesthesia indicates that most variation occurs within prefectures, consistent with institutional factors dominating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26</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22,23</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21,22</w:t>
      </w:r>
      <w:r>
        <w:rPr>
          <w:rFonts w:ascii="Times New Roman" w:hAnsi="Times New Roman"/>
          <w:sz w:val="24"/>
        </w:rPr>
        <w:t xml:space="preserve"> and for other tertiary-intensive specialties across OECD countries;</w:t>
      </w:r>
      <w:r>
        <w:rPr>
          <w:rFonts w:ascii="Times New Roman" w:hAnsi="Times New Roman"/>
          <w:sz w:val="24"/>
          <w:vertAlign w:val="superscript"/>
        </w:rPr>
        <w:t>27</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87.2%) and continuous epidural infusion (L003, 65.0%)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28,29</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governance</w:t>
      </w:r>
    </w:p>
    <w:p>
      <w:r>
        <w:rPr>
          <w:rFonts w:ascii="Times New Roman" w:hAnsi="Times New Roman"/>
          <w:sz w:val="24"/>
        </w:rPr>
        <w:t>The policy implications of these findings are threefold. First, the predominance of structural over administrative determinants means that regulators should not interpret regional variation in anaesthesia claims as prima facie evidence of differential coding accuracy or fraud. Japan's prefecture-specific auditing system is an important governance tool, but its variation in intensity is too small to explain the observed large differences in neuraxial technique use. Redirecting enforcement resources toward coding audits in low-ratio areas is unlikely to reduce the gap and may even penalise providers who already lack specialist capacity.</w:t>
      </w:r>
    </w:p>
    <w:p>
      <w:r>
        <w:rPr>
          <w:rFonts w:ascii="Times New Roman" w:hAnsi="Times New Roman"/>
          <w:sz w:val="24"/>
        </w:rPr>
        <w:t>Second, the marked variation in continuous epidural infusion (L003; coefficient of variation 65.0%) and in epidural anaesthesia (L002; 87.2%)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1.77-fold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28-30</w:t>
      </w:r>
      <w:r>
        <w:rPr>
          <w:rFonts w:ascii="Times New Roman" w:hAnsi="Times New Roman"/>
          <w:sz w:val="24"/>
        </w:rPr>
        <w:t xml:space="preserve"> aligned with international standards for safe practice of anaesthesia.</w:t>
      </w:r>
    </w:p>
    <w:p>
      <w:r>
        <w:rPr>
          <w:rFonts w:ascii="Times New Roman" w:hAnsi="Times New Roman"/>
          <w:sz w:val="24"/>
        </w:rPr>
        <w:t>Third, the within-prefecture variance decomposition and multilevel sensitivity framework developed here provide a transferable governance tool for distinguishing administrative from structural sources of small-area variation. In a single-payer system with a uniform fee schedule, any procedure that shows large within-prefecture variation cannot be attributed to the audit environment and should prompt policy review of workforce, training and facility capacity. Conversely, large between-prefecture variation may warrant regulatory attention to payment, audit or coding practices. Applying this framework to other procedure groups could improve the targeting of both quality-improvement and regulatory resources.</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measured structural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workforce policy and equity policy should address the supply and organisational determinants of anaesthesia practice rather than treat the variation as an unavoidable feature of claims processing or as a signal of differential auditing.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11.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12.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13.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14.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15.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16.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17.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18.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19.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20.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27.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28.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29.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30. </w:t>
      </w:r>
      <w:r>
        <w:rPr>
          <w:rFonts w:ascii="Times New Roman" w:hAnsi="Times New Roman"/>
          <w:sz w:val="24"/>
        </w:rPr>
        <w:t>Mainz J. Defining and classifying clinical indicators for quality improvement. Int J Qual Health Care 2003;15:523-30.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