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Ambient heat is an established driver of mortality</w:t>
      </w:r>
      <w:r>
        <w:rPr/>
        <w:t xml:space="preserve"> (Basu, 2009; Gasparrini et al., 2015).</w:t>
      </w:r>
      <w:r>
        <w:t xml:space="preserve"> Driving, riding and walking nonetheless continue in hot weather, and heat degrades psychomotor and cognitive performance</w:t>
      </w:r>
      <w:r>
        <w:rPr/>
        <w:t xml:space="preserve"> (Daanen et al., 2003).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t xml:space="preserve"> (Liang et al., 2021, 2022),</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consider temporary service modifications during extreme heat,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