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allocation: a transparent decision-analytics framework for evaluating healthcare workforce policy levers",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advances data-driven analytics, operations research, and decision science for healthcare. Our study sits at this intersection: it treats specialty physician workforce planning as a healthcare resource-allocation problem and uses the litigation-workforce question as a test case for a transparent, reproducible decision-analytics and policy-lever evaluation framework. The analytical contribution is diagnostic: we show how two common observational fallacies—size confounding and interpolation of sparse panel data—can be identified and removed when a proposed policy lever (malpractice-litigation risk) is evaluated against workforce outcomes, and we add cluster block-bootstrap and power diagnostics to the standard fixed-effects / equivalence-testing toolkit. We also include a counterfactual policy-lever simulation that projects 2034 physician counts under stylised litigation-reduction and structural-incentive scenarios, making the practical decision implications of the regression results explicit.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national administrative data we use come from Japan, a setting that provides a complete, long-running test case. Using national primary data for 12 clinical specialties, we measure exposure as a size-adjusted rate (closed malpractice claims per 1,000 physicians) and estimate panel fixed-effects models with small-cluster inference, equivalence (TOST) testing, and bootstrap robustness checks. The effect of litigation risk on physician and hospital growth is statistically equivalent to a null within policy-relevant margins. We show that count-based associations disappear once specialty-size confounding and interpolation are removed, and we discuss how behavioural-economics mechanisms (saliency, loss aversion, status-quo bias) and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in the project repository (https://github.com/bougtoir/medical-accident-its-analysis) and every reported number is reproducible from the raw primary files.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