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— ecological time-series study</w:t>
      </w:r>
    </w:p>
    <w:p>
      <w:pPr>
        <w:spacing w:after="120" w:line="480" w:lineRule="auto"/>
      </w:pPr>
      <w:r>
        <w:t>Strengthening the Reporting of Observational Studies in Epidemiology (STROBE). Item numbering follows the STROBE Statement; the third column indicates where each item is addressed in the IJBM manuscript.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Study design in title or abstract</w:t>
            </w:r>
          </w:p>
        </w:tc>
        <w:tc>
          <w:tcPr>
            <w:tcW w:type="dxa" w:w="2880"/>
          </w:tcPr>
          <w:p>
            <w:r>
              <w:t>Title; Abstract</w:t>
            </w:r>
          </w:p>
        </w:tc>
      </w:tr>
      <w:tr>
        <w:tc>
          <w:tcPr>
            <w:tcW w:type="dxa" w:w="2880"/>
          </w:tcPr>
          <w:p>
            <w:r>
              <w:t>1b</w:t>
            </w:r>
          </w:p>
        </w:tc>
        <w:tc>
          <w:tcPr>
            <w:tcW w:type="dxa" w:w="2880"/>
          </w:tcPr>
          <w:p>
            <w:r>
              <w:t>Informative and balanced abstract</w:t>
            </w:r>
          </w:p>
        </w:tc>
        <w:tc>
          <w:tcPr>
            <w:tcW w:type="dxa" w:w="2880"/>
          </w:tcPr>
          <w:p>
            <w:r>
              <w:t>Abstract (250-word unstructured)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Background/rationale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Objectives / hypotheses</w:t>
            </w:r>
          </w:p>
        </w:tc>
        <w:tc>
          <w:tcPr>
            <w:tcW w:type="dxa" w:w="2880"/>
          </w:tcPr>
          <w:p>
            <w:r>
              <w:t>Introduction (final paragraph)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  <w:tc>
          <w:tcPr>
            <w:tcW w:type="dxa" w:w="2880"/>
          </w:tcPr>
          <w:p>
            <w:r>
              <w:t>Methods (ecological time-series; quasi-Poisson DLM)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Setting, locations, periods</w:t>
            </w:r>
          </w:p>
        </w:tc>
        <w:tc>
          <w:tcPr>
            <w:tcW w:type="dxa" w:w="2880"/>
          </w:tcPr>
          <w:p>
            <w:r>
              <w:t>Methods (US states 2016-2022; Japan prefectures 2019-2024); Table 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Participants / units of analysis</w:t>
            </w:r>
          </w:p>
        </w:tc>
        <w:tc>
          <w:tcPr>
            <w:tcW w:type="dxa" w:w="2880"/>
          </w:tcPr>
          <w:p>
            <w:r>
              <w:t>Methods (state-day and prefecture-day panels); Table 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 (outcome, exposure, confounders)</w:t>
            </w:r>
          </w:p>
        </w:tc>
        <w:tc>
          <w:tcPr>
            <w:tcW w:type="dxa" w:w="2880"/>
          </w:tcPr>
          <w:p>
            <w:r>
              <w:t>Methods (crash deaths; temperature anomaly; seasonal/trend/DOW; activity and heat-stress controls)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sources / measurement</w:t>
            </w:r>
          </w:p>
        </w:tc>
        <w:tc>
          <w:tcPr>
            <w:tcW w:type="dxa" w:w="2880"/>
          </w:tcPr>
          <w:p>
            <w:r>
              <w:t>Methods; Data availability (FARS, GHCN-Daily, NPA, CDC WONDER, FHWA, EIA, Census)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Methods (anomaly design); Discussion (limitations)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Study size</w:t>
            </w:r>
          </w:p>
        </w:tc>
        <w:tc>
          <w:tcPr>
            <w:tcW w:type="dxa" w:w="2880"/>
          </w:tcPr>
          <w:p>
            <w:r>
              <w:t>Table 1 (death counts, years, units)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Quantitative variables handling</w:t>
            </w:r>
          </w:p>
        </w:tc>
        <w:tc>
          <w:tcPr>
            <w:tcW w:type="dxa" w:w="2880"/>
          </w:tcPr>
          <w:p>
            <w:r>
              <w:t>Methods (spline lag windows; anomaly construction; contrast robustness)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Statistical methods</w:t>
            </w:r>
          </w:p>
        </w:tc>
        <w:tc>
          <w:tcPr>
            <w:tcW w:type="dxa" w:w="2880"/>
          </w:tcPr>
          <w:p>
            <w:r>
              <w:t>Methods (quasi-Poisson DLM, attributable risk, sensitivity, subgroups)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Descriptive data</w:t>
            </w:r>
          </w:p>
        </w:tc>
        <w:tc>
          <w:tcPr>
            <w:tcW w:type="dxa" w:w="2880"/>
          </w:tcPr>
          <w:p>
            <w:r>
              <w:t>Results (panel sizes); Table 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Outcome data</w:t>
            </w:r>
          </w:p>
        </w:tc>
        <w:tc>
          <w:tcPr>
            <w:tcW w:type="dxa" w:w="2880"/>
          </w:tcPr>
          <w:p>
            <w:r>
              <w:t>Results; Tables 2, 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Main results (estimates, CIs)</w:t>
            </w:r>
          </w:p>
        </w:tc>
        <w:tc>
          <w:tcPr>
            <w:tcW w:type="dxa" w:w="2880"/>
          </w:tcPr>
          <w:p>
            <w:r>
              <w:t>Results; Tables 2-5; Figs. 1-6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Other analyses (subgroups, sensitivity)</w:t>
            </w:r>
          </w:p>
        </w:tc>
        <w:tc>
          <w:tcPr>
            <w:tcW w:type="dxa" w:w="2880"/>
          </w:tcPr>
          <w:p>
            <w:r>
              <w:t>Results; Tables 3-4, S1-S4; Figs. 3-6, S1-S6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Key results</w:t>
            </w:r>
          </w:p>
        </w:tc>
        <w:tc>
          <w:tcPr>
            <w:tcW w:type="dxa" w:w="2880"/>
          </w:tcPr>
          <w:p>
            <w:r>
              <w:t>Discussion (principal findings); Conclusion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Discussion (limitations paragraph)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Discussion; Abstract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Generalisability</w:t>
            </w:r>
          </w:p>
        </w:tc>
        <w:tc>
          <w:tcPr>
            <w:tcW w:type="dxa" w:w="2880"/>
          </w:tcPr>
          <w:p>
            <w:r>
              <w:t>Discussion (external transportability; ecological scope)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Declarations (Funding)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